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EE06" w14:textId="77777777" w:rsidR="00293217" w:rsidRPr="004E61E5" w:rsidRDefault="005C0C69" w:rsidP="00293217">
      <w:pPr>
        <w:jc w:val="center"/>
        <w:rPr>
          <w:rFonts w:ascii="Bahnschrift" w:hAnsi="Bahnschrift"/>
          <w:b/>
          <w:color w:val="002060"/>
          <w:sz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20EBF1F5" wp14:editId="16AE0040">
            <wp:simplePos x="0" y="0"/>
            <wp:positionH relativeFrom="margin">
              <wp:posOffset>4153535</wp:posOffset>
            </wp:positionH>
            <wp:positionV relativeFrom="margin">
              <wp:align>top</wp:align>
            </wp:positionV>
            <wp:extent cx="1205230" cy="1256030"/>
            <wp:effectExtent l="0" t="0" r="0" b="1270"/>
            <wp:wrapSquare wrapText="bothSides"/>
            <wp:docPr id="15" name="Imag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 7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5230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3217" w:rsidRPr="004E61E5">
        <w:rPr>
          <w:noProof/>
          <w:color w:val="002060"/>
        </w:rPr>
        <w:drawing>
          <wp:inline distT="0" distB="0" distL="0" distR="0" wp14:anchorId="2C4C4C3A" wp14:editId="061510A9">
            <wp:extent cx="2213517" cy="1191083"/>
            <wp:effectExtent l="0" t="0" r="0" b="9525"/>
            <wp:docPr id="14" name="Image 14" descr="cid:image001.png@01D7E2B5.9071BD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7E2B5.9071BD10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6726" cy="1198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89489A" w14:textId="77777777" w:rsidR="009B1751" w:rsidRPr="004E61E5" w:rsidRDefault="009B1751" w:rsidP="00293217">
      <w:pPr>
        <w:jc w:val="center"/>
        <w:rPr>
          <w:rFonts w:ascii="Bahnschrift" w:hAnsi="Bahnschrift"/>
          <w:b/>
          <w:color w:val="002060"/>
          <w:sz w:val="32"/>
        </w:rPr>
      </w:pPr>
    </w:p>
    <w:p w14:paraId="1BB30F6B" w14:textId="77777777" w:rsidR="004E61E5" w:rsidRPr="004E61E5" w:rsidRDefault="004E61E5" w:rsidP="00293217">
      <w:pPr>
        <w:jc w:val="center"/>
        <w:rPr>
          <w:rFonts w:ascii="Bahnschrift" w:hAnsi="Bahnschrift"/>
          <w:b/>
          <w:color w:val="002060"/>
          <w:sz w:val="32"/>
        </w:rPr>
      </w:pPr>
      <w:r w:rsidRPr="004E61E5">
        <w:rPr>
          <w:rFonts w:ascii="Bahnschrift" w:hAnsi="Bahnschrift"/>
          <w:b/>
          <w:color w:val="002060"/>
          <w:sz w:val="32"/>
        </w:rPr>
        <w:t xml:space="preserve">CONVENTION RELATIVE AU SORT DU PRIX DE VENTE </w:t>
      </w:r>
    </w:p>
    <w:p w14:paraId="3F633CAF" w14:textId="77777777" w:rsidR="00293217" w:rsidRPr="004E61E5" w:rsidRDefault="004E61E5" w:rsidP="00293217">
      <w:pPr>
        <w:jc w:val="center"/>
        <w:rPr>
          <w:rFonts w:ascii="Bahnschrift" w:hAnsi="Bahnschrift"/>
          <w:b/>
          <w:color w:val="002060"/>
          <w:sz w:val="32"/>
        </w:rPr>
      </w:pPr>
      <w:r w:rsidRPr="004E61E5">
        <w:rPr>
          <w:rFonts w:ascii="Bahnschrift" w:hAnsi="Bahnschrift"/>
          <w:b/>
          <w:color w:val="002060"/>
          <w:sz w:val="32"/>
        </w:rPr>
        <w:t>D’UN IMMEUBLE DEMEMBRE</w:t>
      </w:r>
    </w:p>
    <w:p w14:paraId="5D1BE3FB" w14:textId="77777777" w:rsidR="00C40C2C" w:rsidRPr="004E61E5" w:rsidRDefault="00C40C2C" w:rsidP="00293217">
      <w:pPr>
        <w:jc w:val="center"/>
        <w:rPr>
          <w:rFonts w:ascii="Bahnschrift" w:hAnsi="Bahnschrift"/>
          <w:b/>
          <w:color w:val="002060"/>
          <w:sz w:val="32"/>
        </w:rPr>
      </w:pPr>
    </w:p>
    <w:p w14:paraId="12060F4B" w14:textId="4CE7919D" w:rsidR="009C2F28" w:rsidRPr="004E61E5" w:rsidRDefault="009C2F28" w:rsidP="009C2F28">
      <w:pPr>
        <w:jc w:val="center"/>
        <w:rPr>
          <w:rFonts w:ascii="Bahnschrift" w:hAnsi="Bahnschrift"/>
          <w:i/>
          <w:color w:val="002060"/>
        </w:rPr>
      </w:pPr>
      <w:r w:rsidRPr="004E61E5">
        <w:rPr>
          <w:rFonts w:ascii="Bahnschrift" w:hAnsi="Bahnschrift"/>
          <w:i/>
          <w:color w:val="002060"/>
        </w:rPr>
        <w:t xml:space="preserve">Nous proposons ici un modèle pouvant servir de base </w:t>
      </w:r>
      <w:r>
        <w:rPr>
          <w:rFonts w:ascii="Bahnschrift" w:hAnsi="Bahnschrift"/>
          <w:i/>
          <w:color w:val="002060"/>
        </w:rPr>
        <w:t>à la préparation d’une convention</w:t>
      </w:r>
      <w:r w:rsidRPr="007533B6">
        <w:rPr>
          <w:rFonts w:ascii="Bahnschrift" w:hAnsi="Bahnschrift"/>
          <w:i/>
          <w:color w:val="002060"/>
        </w:rPr>
        <w:t xml:space="preserve"> </w:t>
      </w:r>
      <w:r>
        <w:rPr>
          <w:rFonts w:ascii="Bahnschrift" w:hAnsi="Bahnschrift"/>
          <w:i/>
          <w:color w:val="002060"/>
        </w:rPr>
        <w:t>relative au sort du prix de vente, entre usufruitier et nu-propriétaire, dans le cadre de la vente d’un immeuble déten</w:t>
      </w:r>
      <w:r w:rsidR="001B5D73">
        <w:rPr>
          <w:rFonts w:ascii="Bahnschrift" w:hAnsi="Bahnschrift"/>
          <w:i/>
          <w:color w:val="002060"/>
        </w:rPr>
        <w:t>u en démembrement de propriété.</w:t>
      </w:r>
    </w:p>
    <w:p w14:paraId="0D85746F" w14:textId="77777777" w:rsidR="00C40C2C" w:rsidRPr="004E61E5" w:rsidRDefault="00C40C2C" w:rsidP="00527364">
      <w:pPr>
        <w:jc w:val="both"/>
        <w:rPr>
          <w:rFonts w:ascii="Bahnschrift" w:hAnsi="Bahnschrift"/>
          <w:i/>
          <w:color w:val="002060"/>
        </w:rPr>
      </w:pPr>
    </w:p>
    <w:p w14:paraId="53D0850A" w14:textId="77777777" w:rsid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bookmarkStart w:id="0" w:name="PYANNEE_r1_wId1"/>
    </w:p>
    <w:p w14:paraId="018CABC0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r w:rsidRPr="004E61E5">
        <w:rPr>
          <w:rFonts w:ascii="Open Sans" w:hAnsi="Open Sans" w:cs="Open Sans"/>
          <w:b/>
          <w:color w:val="002060"/>
        </w:rPr>
        <w:t>L’AN</w:t>
      </w:r>
    </w:p>
    <w:p w14:paraId="0CA5936F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r w:rsidRPr="004E61E5">
        <w:rPr>
          <w:rFonts w:ascii="Open Sans" w:hAnsi="Open Sans" w:cs="Open Sans"/>
          <w:b/>
          <w:color w:val="002060"/>
        </w:rPr>
        <w:t xml:space="preserve">LE </w:t>
      </w:r>
      <w:r w:rsidRPr="004E61E5">
        <w:rPr>
          <w:rFonts w:ascii="Open Sans" w:hAnsi="Open Sans" w:cs="Open Sans"/>
          <w:b/>
          <w:color w:val="002060"/>
        </w:rPr>
        <w:fldChar w:fldCharType="begin">
          <w:ffData>
            <w:name w:val=""/>
            <w:enabled/>
            <w:calcOnExit w:val="0"/>
            <w:entryMacro w:val="EntryMacro"/>
            <w:exitMacro w:val="ExitMacro"/>
            <w:helpText w:type="text" w:val="[ffldname=vDATACT___5]&#10;D5¤&#10;IdAction=6¤"/>
            <w:statusText w:type="text" w:val="Date de l'acte  "/>
            <w:textInput/>
          </w:ffData>
        </w:fldChar>
      </w:r>
      <w:r w:rsidRPr="004E61E5">
        <w:rPr>
          <w:rFonts w:ascii="Open Sans" w:hAnsi="Open Sans" w:cs="Open Sans"/>
          <w:b/>
          <w:color w:val="002060"/>
        </w:rPr>
        <w:instrText xml:space="preserve"> FORMTEXT </w:instrText>
      </w:r>
      <w:r w:rsidRPr="004E61E5">
        <w:rPr>
          <w:rFonts w:ascii="Open Sans" w:hAnsi="Open Sans" w:cs="Open Sans"/>
          <w:b/>
          <w:color w:val="002060"/>
        </w:rPr>
      </w:r>
      <w:r w:rsidRPr="004E61E5">
        <w:rPr>
          <w:rFonts w:ascii="Open Sans" w:hAnsi="Open Sans" w:cs="Open Sans"/>
          <w:b/>
          <w:color w:val="002060"/>
        </w:rPr>
        <w:fldChar w:fldCharType="separate"/>
      </w:r>
      <w:r w:rsidRPr="004E61E5">
        <w:rPr>
          <w:rFonts w:ascii="Open Sans" w:hAnsi="Open Sans" w:cs="Open Sans"/>
          <w:b/>
          <w:color w:val="002060"/>
        </w:rPr>
        <w:t> </w:t>
      </w:r>
      <w:r w:rsidRPr="004E61E5">
        <w:rPr>
          <w:rFonts w:ascii="Open Sans" w:hAnsi="Open Sans" w:cs="Open Sans"/>
          <w:b/>
          <w:color w:val="002060"/>
        </w:rPr>
        <w:t> </w:t>
      </w:r>
      <w:r w:rsidRPr="004E61E5">
        <w:rPr>
          <w:rFonts w:ascii="Open Sans" w:hAnsi="Open Sans" w:cs="Open Sans"/>
          <w:b/>
          <w:color w:val="002060"/>
        </w:rPr>
        <w:t> </w:t>
      </w:r>
      <w:r w:rsidRPr="004E61E5">
        <w:rPr>
          <w:rFonts w:ascii="Open Sans" w:hAnsi="Open Sans" w:cs="Open Sans"/>
          <w:b/>
          <w:color w:val="002060"/>
        </w:rPr>
        <w:t> </w:t>
      </w:r>
      <w:r w:rsidRPr="004E61E5">
        <w:rPr>
          <w:rFonts w:ascii="Open Sans" w:hAnsi="Open Sans" w:cs="Open Sans"/>
          <w:b/>
          <w:color w:val="002060"/>
        </w:rPr>
        <w:t> </w:t>
      </w:r>
      <w:r w:rsidRPr="004E61E5">
        <w:rPr>
          <w:rFonts w:ascii="Open Sans" w:hAnsi="Open Sans" w:cs="Open Sans"/>
          <w:b/>
          <w:color w:val="002060"/>
        </w:rPr>
        <w:fldChar w:fldCharType="end"/>
      </w:r>
    </w:p>
    <w:p w14:paraId="4715C305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bookmarkStart w:id="1" w:name="PYANNEE_r1_wId1_vENTETE_wdId3"/>
      <w:r w:rsidRPr="004E61E5">
        <w:rPr>
          <w:rFonts w:ascii="Open Sans" w:hAnsi="Open Sans" w:cs="Open Sans"/>
          <w:b/>
          <w:color w:val="002060"/>
        </w:rPr>
        <w:t>A</w:t>
      </w:r>
      <w:r w:rsidR="00FC40C7">
        <w:rPr>
          <w:rFonts w:ascii="Open Sans" w:hAnsi="Open Sans" w:cs="Open Sans"/>
          <w:b/>
          <w:color w:val="002060"/>
        </w:rPr>
        <w:t>*****************</w:t>
      </w:r>
      <w:r w:rsidRPr="004E61E5">
        <w:rPr>
          <w:rFonts w:ascii="Open Sans" w:hAnsi="Open Sans" w:cs="Open Sans"/>
          <w:b/>
          <w:color w:val="002060"/>
        </w:rPr>
        <w:t>, au siège de l’office notarial, ci-après nommé,</w:t>
      </w:r>
    </w:p>
    <w:p w14:paraId="28E776EA" w14:textId="77777777" w:rsidR="004E61E5" w:rsidRPr="004E61E5" w:rsidRDefault="004E61E5" w:rsidP="004E61E5">
      <w:pPr>
        <w:widowControl w:val="0"/>
        <w:ind w:firstLine="708"/>
        <w:jc w:val="both"/>
        <w:rPr>
          <w:rFonts w:ascii="Open Sans" w:hAnsi="Open Sans" w:cs="Open Sans"/>
          <w:b/>
          <w:color w:val="002060"/>
        </w:rPr>
      </w:pPr>
    </w:p>
    <w:p w14:paraId="52C9B3F1" w14:textId="77777777" w:rsidR="004E61E5" w:rsidRPr="004E61E5" w:rsidRDefault="004E61E5" w:rsidP="004E61E5">
      <w:pPr>
        <w:widowControl w:val="0"/>
        <w:tabs>
          <w:tab w:val="left" w:pos="5725"/>
        </w:tabs>
        <w:ind w:firstLine="709"/>
        <w:jc w:val="both"/>
        <w:rPr>
          <w:rFonts w:ascii="Open Sans" w:hAnsi="Open Sans" w:cs="Open Sans"/>
          <w:b/>
          <w:color w:val="002060"/>
        </w:rPr>
      </w:pPr>
      <w:r w:rsidRPr="004E61E5">
        <w:rPr>
          <w:rFonts w:ascii="Open Sans" w:hAnsi="Open Sans" w:cs="Open Sans"/>
          <w:b/>
          <w:color w:val="002060"/>
        </w:rPr>
        <w:t>Maître</w:t>
      </w:r>
      <w:r>
        <w:rPr>
          <w:rFonts w:ascii="Open Sans" w:hAnsi="Open Sans" w:cs="Open Sans"/>
          <w:b/>
          <w:color w:val="002060"/>
        </w:rPr>
        <w:t xml:space="preserve"> *******</w:t>
      </w:r>
      <w:r w:rsidRPr="004E61E5">
        <w:rPr>
          <w:rFonts w:ascii="Open Sans" w:hAnsi="Open Sans" w:cs="Open Sans"/>
          <w:b/>
          <w:color w:val="002060"/>
        </w:rPr>
        <w:t>, notaire soussigné</w:t>
      </w:r>
      <w:bookmarkEnd w:id="1"/>
      <w:r>
        <w:rPr>
          <w:rFonts w:ascii="Open Sans" w:hAnsi="Open Sans" w:cs="Open Sans"/>
          <w:b/>
          <w:color w:val="002060"/>
        </w:rPr>
        <w:t xml:space="preserve"> ***************</w:t>
      </w:r>
      <w:r w:rsidRPr="004E61E5">
        <w:rPr>
          <w:rFonts w:ascii="Open Sans" w:hAnsi="Open Sans" w:cs="Open Sans"/>
          <w:b/>
          <w:color w:val="002060"/>
        </w:rPr>
        <w:t>,</w:t>
      </w:r>
    </w:p>
    <w:p w14:paraId="1F090297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37B50CC2" w14:textId="77777777" w:rsidR="004E61E5" w:rsidRPr="004E61E5" w:rsidRDefault="00FC40C7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bookmarkStart w:id="2" w:name="PXARECU_r1_wId4"/>
      <w:bookmarkEnd w:id="0"/>
      <w:r>
        <w:rPr>
          <w:rFonts w:ascii="Open Sans" w:hAnsi="Open Sans" w:cs="Open Sans"/>
          <w:b/>
          <w:color w:val="002060"/>
        </w:rPr>
        <w:t>A reçu le présent acte</w:t>
      </w:r>
      <w:r w:rsidR="004E61E5" w:rsidRPr="004E61E5">
        <w:rPr>
          <w:rFonts w:ascii="Open Sans" w:hAnsi="Open Sans" w:cs="Open Sans"/>
          <w:b/>
          <w:color w:val="002060"/>
        </w:rPr>
        <w:t xml:space="preserve"> :</w:t>
      </w:r>
    </w:p>
    <w:p w14:paraId="37B74744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0D35DEE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bookmarkStart w:id="3" w:name="PXENTRE_r1_wId5"/>
      <w:bookmarkEnd w:id="2"/>
      <w:r w:rsidRPr="004E61E5">
        <w:rPr>
          <w:rFonts w:ascii="Open Sans" w:hAnsi="Open Sans" w:cs="Open Sans"/>
          <w:b/>
          <w:color w:val="002060"/>
          <w:u w:val="single"/>
        </w:rPr>
        <w:t>ENTRE</w:t>
      </w:r>
      <w:r w:rsidRPr="004E61E5">
        <w:rPr>
          <w:rFonts w:ascii="Open Sans" w:hAnsi="Open Sans" w:cs="Open Sans"/>
          <w:b/>
          <w:color w:val="002060"/>
        </w:rPr>
        <w:t xml:space="preserve"> :</w:t>
      </w:r>
    </w:p>
    <w:p w14:paraId="66B55700" w14:textId="77777777" w:rsidR="004E61E5" w:rsidRPr="004E61E5" w:rsidRDefault="00FC40C7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color w:val="002060"/>
        </w:rPr>
        <w:t>*******</w:t>
      </w:r>
    </w:p>
    <w:p w14:paraId="55D78A58" w14:textId="62557522" w:rsidR="004E61E5" w:rsidRPr="004E61E5" w:rsidRDefault="004E61E5" w:rsidP="004E61E5">
      <w:pPr>
        <w:widowControl w:val="0"/>
        <w:ind w:firstLine="709"/>
        <w:jc w:val="right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Ci-après dénommé</w:t>
      </w:r>
      <w:r w:rsidR="001B5D73">
        <w:rPr>
          <w:rFonts w:ascii="Open Sans" w:hAnsi="Open Sans" w:cs="Open Sans"/>
          <w:i/>
          <w:iCs/>
          <w:color w:val="002060"/>
        </w:rPr>
        <w:t>(</w:t>
      </w:r>
      <w:r w:rsidRPr="004E61E5">
        <w:rPr>
          <w:rFonts w:ascii="Open Sans" w:hAnsi="Open Sans" w:cs="Open Sans"/>
          <w:i/>
          <w:iCs/>
          <w:color w:val="002060"/>
        </w:rPr>
        <w:t>s</w:t>
      </w:r>
      <w:r w:rsidR="001B5D73">
        <w:rPr>
          <w:rFonts w:ascii="Open Sans" w:hAnsi="Open Sans" w:cs="Open Sans"/>
          <w:i/>
          <w:iCs/>
          <w:color w:val="002060"/>
        </w:rPr>
        <w:t>)</w:t>
      </w:r>
      <w:r w:rsidRPr="004E61E5">
        <w:rPr>
          <w:rFonts w:ascii="Open Sans" w:hAnsi="Open Sans" w:cs="Open Sans"/>
          <w:i/>
          <w:iCs/>
          <w:color w:val="002060"/>
        </w:rPr>
        <w:t xml:space="preserve"> « L’USUFRUITIER »</w:t>
      </w:r>
    </w:p>
    <w:p w14:paraId="48E328A9" w14:textId="77777777" w:rsidR="004E61E5" w:rsidRPr="004E61E5" w:rsidRDefault="004E61E5" w:rsidP="004E61E5">
      <w:pPr>
        <w:widowControl w:val="0"/>
        <w:ind w:firstLine="709"/>
        <w:jc w:val="right"/>
        <w:rPr>
          <w:rFonts w:ascii="Open Sans" w:hAnsi="Open Sans" w:cs="Open Sans"/>
          <w:b/>
          <w:color w:val="002060"/>
        </w:rPr>
      </w:pPr>
      <w:bookmarkStart w:id="4" w:name="PXDUNPA_r1_wId6"/>
      <w:bookmarkEnd w:id="3"/>
      <w:r w:rsidRPr="004E61E5">
        <w:rPr>
          <w:rFonts w:ascii="Open Sans" w:hAnsi="Open Sans" w:cs="Open Sans"/>
          <w:b/>
          <w:color w:val="002060"/>
          <w:u w:val="single"/>
        </w:rPr>
        <w:t>D’UNE PART</w:t>
      </w:r>
    </w:p>
    <w:p w14:paraId="4D9BBB4D" w14:textId="77777777" w:rsidR="004E61E5" w:rsidRPr="004E61E5" w:rsidRDefault="00FC40C7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bookmarkStart w:id="5" w:name="PXET_r1_wId7"/>
      <w:bookmarkEnd w:id="4"/>
      <w:r>
        <w:rPr>
          <w:rFonts w:ascii="Open Sans" w:hAnsi="Open Sans" w:cs="Open Sans"/>
          <w:b/>
          <w:color w:val="002060"/>
          <w:u w:val="single"/>
        </w:rPr>
        <w:t>E</w:t>
      </w:r>
      <w:r w:rsidR="004E61E5" w:rsidRPr="004E61E5">
        <w:rPr>
          <w:rFonts w:ascii="Open Sans" w:hAnsi="Open Sans" w:cs="Open Sans"/>
          <w:b/>
          <w:color w:val="002060"/>
          <w:u w:val="single"/>
        </w:rPr>
        <w:t>T</w:t>
      </w:r>
      <w:r w:rsidR="004E61E5" w:rsidRPr="004E61E5">
        <w:rPr>
          <w:rFonts w:ascii="Open Sans" w:hAnsi="Open Sans" w:cs="Open Sans"/>
          <w:b/>
          <w:color w:val="002060"/>
        </w:rPr>
        <w:t xml:space="preserve"> :</w:t>
      </w:r>
    </w:p>
    <w:p w14:paraId="6A6D65FE" w14:textId="77777777" w:rsidR="004E61E5" w:rsidRPr="004E61E5" w:rsidRDefault="00FC40C7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</w:rPr>
      </w:pPr>
      <w:r>
        <w:rPr>
          <w:rFonts w:ascii="Open Sans" w:hAnsi="Open Sans" w:cs="Open Sans"/>
          <w:b/>
          <w:color w:val="002060"/>
        </w:rPr>
        <w:t>******</w:t>
      </w:r>
    </w:p>
    <w:p w14:paraId="01EEA622" w14:textId="36C1B9A4" w:rsidR="004E61E5" w:rsidRPr="004E61E5" w:rsidRDefault="004E61E5" w:rsidP="004E61E5">
      <w:pPr>
        <w:widowControl w:val="0"/>
        <w:ind w:firstLine="709"/>
        <w:jc w:val="right"/>
        <w:rPr>
          <w:rFonts w:ascii="Open Sans" w:hAnsi="Open Sans" w:cs="Open Sans"/>
          <w:bCs/>
          <w:i/>
          <w:iCs/>
          <w:color w:val="002060"/>
        </w:rPr>
      </w:pPr>
      <w:r w:rsidRPr="004E61E5">
        <w:rPr>
          <w:rFonts w:ascii="Open Sans" w:hAnsi="Open Sans" w:cs="Open Sans"/>
          <w:bCs/>
          <w:i/>
          <w:iCs/>
          <w:color w:val="002060"/>
        </w:rPr>
        <w:t>Ci-après dénommé</w:t>
      </w:r>
      <w:r w:rsidR="001B5D73">
        <w:rPr>
          <w:rFonts w:ascii="Open Sans" w:hAnsi="Open Sans" w:cs="Open Sans"/>
          <w:bCs/>
          <w:i/>
          <w:iCs/>
          <w:color w:val="002060"/>
        </w:rPr>
        <w:t>(</w:t>
      </w:r>
      <w:r w:rsidRPr="004E61E5">
        <w:rPr>
          <w:rFonts w:ascii="Open Sans" w:hAnsi="Open Sans" w:cs="Open Sans"/>
          <w:bCs/>
          <w:i/>
          <w:iCs/>
          <w:color w:val="002060"/>
        </w:rPr>
        <w:t>s</w:t>
      </w:r>
      <w:r w:rsidR="001B5D73">
        <w:rPr>
          <w:rFonts w:ascii="Open Sans" w:hAnsi="Open Sans" w:cs="Open Sans"/>
          <w:bCs/>
          <w:i/>
          <w:iCs/>
          <w:color w:val="002060"/>
        </w:rPr>
        <w:t>)</w:t>
      </w:r>
      <w:r w:rsidRPr="004E61E5">
        <w:rPr>
          <w:rFonts w:ascii="Open Sans" w:hAnsi="Open Sans" w:cs="Open Sans"/>
          <w:bCs/>
          <w:i/>
          <w:iCs/>
          <w:color w:val="002060"/>
        </w:rPr>
        <w:t xml:space="preserve"> « LE NU-PROPRIETAIRE ».</w:t>
      </w:r>
    </w:p>
    <w:p w14:paraId="3B680632" w14:textId="77777777" w:rsidR="004E61E5" w:rsidRPr="004E61E5" w:rsidRDefault="004E61E5" w:rsidP="004E61E5">
      <w:pPr>
        <w:widowControl w:val="0"/>
        <w:ind w:firstLine="709"/>
        <w:jc w:val="right"/>
        <w:rPr>
          <w:rFonts w:ascii="Open Sans" w:hAnsi="Open Sans" w:cs="Open Sans"/>
          <w:b/>
          <w:color w:val="002060"/>
          <w:u w:val="single"/>
        </w:rPr>
      </w:pPr>
      <w:bookmarkStart w:id="6" w:name="PXDAUPA_r1_wId8"/>
      <w:bookmarkEnd w:id="5"/>
      <w:r w:rsidRPr="004E61E5">
        <w:rPr>
          <w:rFonts w:ascii="Open Sans" w:hAnsi="Open Sans" w:cs="Open Sans"/>
          <w:b/>
          <w:color w:val="002060"/>
          <w:u w:val="single"/>
        </w:rPr>
        <w:t>D’AUTRE PART</w:t>
      </w:r>
    </w:p>
    <w:p w14:paraId="20C28D93" w14:textId="77777777" w:rsidR="004E61E5" w:rsidRDefault="004E61E5" w:rsidP="00D5791E">
      <w:pPr>
        <w:widowControl w:val="0"/>
        <w:rPr>
          <w:rFonts w:ascii="Open Sans" w:hAnsi="Open Sans" w:cs="Open Sans"/>
          <w:b/>
          <w:color w:val="002060"/>
          <w:u w:val="single"/>
        </w:rPr>
      </w:pPr>
    </w:p>
    <w:p w14:paraId="62BE0FF9" w14:textId="75C69C9B" w:rsidR="00D5791E" w:rsidRPr="00B56DAE" w:rsidRDefault="00D5791E" w:rsidP="00D5791E">
      <w:pPr>
        <w:widowControl w:val="0"/>
        <w:rPr>
          <w:rFonts w:ascii="Open Sans" w:hAnsi="Open Sans" w:cs="Open Sans"/>
          <w:i/>
          <w:color w:val="002060"/>
          <w:u w:val="single"/>
        </w:rPr>
      </w:pPr>
      <w:r w:rsidRPr="00B56DAE">
        <w:rPr>
          <w:rFonts w:ascii="Open Sans" w:hAnsi="Open Sans" w:cs="Open Sans"/>
          <w:i/>
          <w:color w:val="002060"/>
          <w:u w:val="single"/>
        </w:rPr>
        <w:t>(</w:t>
      </w:r>
      <w:r w:rsidR="001B5D73">
        <w:rPr>
          <w:rFonts w:ascii="Open Sans" w:hAnsi="Open Sans" w:cs="Open Sans"/>
          <w:i/>
          <w:color w:val="002060"/>
          <w:u w:val="single"/>
        </w:rPr>
        <w:t>NB : u</w:t>
      </w:r>
      <w:r w:rsidRPr="00B56DAE">
        <w:rPr>
          <w:rFonts w:ascii="Open Sans" w:hAnsi="Open Sans" w:cs="Open Sans"/>
          <w:i/>
          <w:color w:val="002060"/>
          <w:u w:val="single"/>
        </w:rPr>
        <w:t>ne convention pourra être prévue pour chaque « </w:t>
      </w:r>
      <w:r w:rsidR="001B5D73">
        <w:rPr>
          <w:rFonts w:ascii="Open Sans" w:hAnsi="Open Sans" w:cs="Open Sans"/>
          <w:i/>
          <w:color w:val="002060"/>
          <w:u w:val="single"/>
        </w:rPr>
        <w:t>couple</w:t>
      </w:r>
      <w:r w:rsidRPr="00B56DAE">
        <w:rPr>
          <w:rFonts w:ascii="Open Sans" w:hAnsi="Open Sans" w:cs="Open Sans"/>
          <w:i/>
          <w:color w:val="002060"/>
          <w:u w:val="single"/>
        </w:rPr>
        <w:t> » usufruitier/nu-propriétaire)</w:t>
      </w:r>
    </w:p>
    <w:p w14:paraId="3077BFEA" w14:textId="77777777" w:rsidR="004E61E5" w:rsidRPr="00B56DAE" w:rsidRDefault="004E61E5" w:rsidP="004E61E5">
      <w:pPr>
        <w:widowControl w:val="0"/>
        <w:ind w:firstLine="709"/>
        <w:jc w:val="right"/>
        <w:rPr>
          <w:rFonts w:ascii="Open Sans" w:hAnsi="Open Sans" w:cs="Open Sans"/>
          <w:b/>
          <w:color w:val="002060"/>
        </w:rPr>
      </w:pPr>
    </w:p>
    <w:bookmarkEnd w:id="6"/>
    <w:p w14:paraId="7D0A4287" w14:textId="77777777" w:rsidR="004E61E5" w:rsidRPr="00B56DAE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B56DAE">
        <w:rPr>
          <w:rFonts w:ascii="Open Sans" w:hAnsi="Open Sans" w:cs="Open Sans"/>
          <w:b/>
          <w:color w:val="002060"/>
          <w:u w:val="single"/>
        </w:rPr>
        <w:t>ELEMENTS PREALABLES</w:t>
      </w:r>
    </w:p>
    <w:p w14:paraId="0DA74309" w14:textId="77777777" w:rsidR="004E61E5" w:rsidRPr="00B56DAE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64C36BD6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Le mot « </w:t>
      </w:r>
      <w:r w:rsidRPr="00B56DAE">
        <w:rPr>
          <w:rFonts w:ascii="Open Sans" w:hAnsi="Open Sans" w:cs="Open Sans"/>
          <w:b/>
          <w:color w:val="002060"/>
        </w:rPr>
        <w:t>USUFRUITIER</w:t>
      </w:r>
      <w:r w:rsidRPr="00B56DAE">
        <w:rPr>
          <w:rFonts w:ascii="Open Sans" w:hAnsi="Open Sans" w:cs="Open Sans"/>
          <w:color w:val="002060"/>
        </w:rPr>
        <w:t> » sera employé au masculin singulier et désignera indifféremment toute personne physique homme</w:t>
      </w:r>
      <w:r w:rsidRPr="004E61E5">
        <w:rPr>
          <w:rFonts w:ascii="Open Sans" w:hAnsi="Open Sans" w:cs="Open Sans"/>
          <w:color w:val="002060"/>
        </w:rPr>
        <w:t xml:space="preserve"> ou femme, qu’il n'y en ait qu’une ou plusieurs. </w:t>
      </w:r>
    </w:p>
    <w:p w14:paraId="380CDA18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Les mots « </w:t>
      </w:r>
      <w:r w:rsidRPr="004E61E5">
        <w:rPr>
          <w:rFonts w:ascii="Open Sans" w:hAnsi="Open Sans" w:cs="Open Sans"/>
          <w:b/>
          <w:color w:val="002060"/>
        </w:rPr>
        <w:t>NU-PROPRIETAIRE</w:t>
      </w:r>
      <w:r w:rsidRPr="004E61E5">
        <w:rPr>
          <w:rFonts w:ascii="Open Sans" w:hAnsi="Open Sans" w:cs="Open Sans"/>
          <w:color w:val="002060"/>
        </w:rPr>
        <w:t xml:space="preserve"> » désignera indifféremment toute personne physique homme ou femme, qu’il n'y en ait qu’une ou plusieurs. </w:t>
      </w:r>
    </w:p>
    <w:p w14:paraId="60178D07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028A3C3C" w14:textId="77777777" w:rsidR="00FC40C7" w:rsidRDefault="004E61E5" w:rsidP="004E61E5">
      <w:pPr>
        <w:keepNext/>
        <w:keepLines/>
        <w:spacing w:before="120" w:after="120"/>
        <w:jc w:val="center"/>
        <w:outlineLvl w:val="0"/>
        <w:rPr>
          <w:rFonts w:ascii="Open Sans" w:hAnsi="Open Sans" w:cs="Open Sans"/>
          <w:b/>
          <w:caps/>
          <w:color w:val="002060"/>
          <w:kern w:val="28"/>
          <w:u w:val="single"/>
        </w:rPr>
      </w:pPr>
      <w:r w:rsidRPr="004E61E5">
        <w:rPr>
          <w:rFonts w:ascii="Open Sans" w:hAnsi="Open Sans" w:cs="Open Sans"/>
          <w:b/>
          <w:caps/>
          <w:color w:val="002060"/>
          <w:kern w:val="28"/>
          <w:u w:val="single"/>
        </w:rPr>
        <w:t xml:space="preserve">DECLARATIONS PREALABLES DES PARTIES et Documents </w:t>
      </w:r>
    </w:p>
    <w:p w14:paraId="0C35727D" w14:textId="77777777" w:rsidR="004E61E5" w:rsidRPr="004E61E5" w:rsidRDefault="004E61E5" w:rsidP="004E61E5">
      <w:pPr>
        <w:keepNext/>
        <w:keepLines/>
        <w:spacing w:before="120" w:after="120"/>
        <w:jc w:val="center"/>
        <w:outlineLvl w:val="0"/>
        <w:rPr>
          <w:rFonts w:ascii="Open Sans" w:hAnsi="Open Sans" w:cs="Open Sans"/>
          <w:b/>
          <w:caps/>
          <w:color w:val="002060"/>
          <w:kern w:val="28"/>
          <w:u w:val="single"/>
        </w:rPr>
      </w:pPr>
      <w:r w:rsidRPr="004E61E5">
        <w:rPr>
          <w:rFonts w:ascii="Open Sans" w:hAnsi="Open Sans" w:cs="Open Sans"/>
          <w:b/>
          <w:caps/>
          <w:color w:val="002060"/>
          <w:kern w:val="28"/>
          <w:u w:val="single"/>
        </w:rPr>
        <w:t>relatifs a la capacité des parties</w:t>
      </w:r>
    </w:p>
    <w:p w14:paraId="7975CAB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bookmarkStart w:id="7" w:name="PCAPAFDS_r1_wId38"/>
      <w:r w:rsidRPr="004E61E5">
        <w:rPr>
          <w:rFonts w:ascii="Open Sans" w:hAnsi="Open Sans" w:cs="Open Sans"/>
          <w:color w:val="002060"/>
        </w:rPr>
        <w:t xml:space="preserve">Préalablement à la régularisation de la présente convention, </w:t>
      </w:r>
      <w:r w:rsidRPr="004E61E5">
        <w:rPr>
          <w:rFonts w:ascii="Open Sans" w:hAnsi="Open Sans" w:cs="Open Sans"/>
          <w:color w:val="002060"/>
          <w:u w:val="single"/>
        </w:rPr>
        <w:t>L’USUFRUITIER et le NU-PROPRIETAIRE déclarent</w:t>
      </w:r>
      <w:r w:rsidRPr="004E61E5">
        <w:rPr>
          <w:rFonts w:ascii="Open Sans" w:hAnsi="Open Sans" w:cs="Open Sans"/>
          <w:color w:val="002060"/>
        </w:rPr>
        <w:t xml:space="preserve"> : </w:t>
      </w:r>
    </w:p>
    <w:p w14:paraId="36EF1D93" w14:textId="77777777" w:rsidR="004E61E5" w:rsidRPr="004E61E5" w:rsidRDefault="004E61E5" w:rsidP="004E61E5">
      <w:pPr>
        <w:numPr>
          <w:ilvl w:val="0"/>
          <w:numId w:val="31"/>
        </w:numPr>
        <w:ind w:left="0" w:firstLine="0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Que les indications portées aux présentes concernant leur identité sont parfaitement exactes</w:t>
      </w:r>
      <w:r w:rsidR="00FC40C7">
        <w:rPr>
          <w:rFonts w:ascii="Open Sans" w:hAnsi="Open Sans" w:cs="Open Sans"/>
          <w:color w:val="002060"/>
        </w:rPr>
        <w:t> ;</w:t>
      </w:r>
    </w:p>
    <w:p w14:paraId="0E4E5D35" w14:textId="77777777" w:rsidR="004E61E5" w:rsidRPr="004E61E5" w:rsidRDefault="004E61E5" w:rsidP="004E61E5">
      <w:pPr>
        <w:numPr>
          <w:ilvl w:val="0"/>
          <w:numId w:val="31"/>
        </w:numPr>
        <w:ind w:left="0" w:firstLine="0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lastRenderedPageBreak/>
        <w:t>Qu’il n’existe aucune restriction à leur capacité de s’obliger par suite de faillite personnelle, redressement ou liquidation judiciaire, cessation des paiements, incapacité quelconque.</w:t>
      </w:r>
    </w:p>
    <w:p w14:paraId="6F5A74B2" w14:textId="77777777" w:rsidR="004E61E5" w:rsidRPr="004E61E5" w:rsidRDefault="004E61E5" w:rsidP="004E61E5">
      <w:pPr>
        <w:jc w:val="both"/>
        <w:rPr>
          <w:rFonts w:ascii="Open Sans" w:hAnsi="Open Sans" w:cs="Open Sans"/>
          <w:color w:val="002060"/>
        </w:rPr>
      </w:pPr>
      <w:bookmarkStart w:id="8" w:name="PCAPAJUS_r1_wId39"/>
      <w:bookmarkEnd w:id="7"/>
    </w:p>
    <w:p w14:paraId="7C3BC493" w14:textId="77777777" w:rsidR="004E61E5" w:rsidRPr="004E61E5" w:rsidRDefault="004E61E5" w:rsidP="004E61E5">
      <w:p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Les pièces suivantes ont été produites à l'appui des déclarations des parties sur leur capacité :</w:t>
      </w:r>
    </w:p>
    <w:p w14:paraId="1BF13B9B" w14:textId="6CA23ED2" w:rsidR="004E61E5" w:rsidRPr="004E61E5" w:rsidRDefault="001B5D73" w:rsidP="004E61E5">
      <w:pPr>
        <w:numPr>
          <w:ilvl w:val="0"/>
          <w:numId w:val="36"/>
        </w:numPr>
        <w:ind w:firstLine="0"/>
        <w:jc w:val="both"/>
        <w:rPr>
          <w:rFonts w:ascii="Open Sans" w:hAnsi="Open Sans" w:cs="Open Sans"/>
          <w:color w:val="002060"/>
        </w:rPr>
      </w:pPr>
      <w:bookmarkStart w:id="9" w:name="PCARTEID_r1_wId60"/>
      <w:bookmarkEnd w:id="8"/>
      <w:r>
        <w:rPr>
          <w:rFonts w:ascii="Open Sans" w:hAnsi="Open Sans" w:cs="Open Sans"/>
          <w:color w:val="002060"/>
        </w:rPr>
        <w:t>e</w:t>
      </w:r>
      <w:r w:rsidR="004E61E5" w:rsidRPr="004E61E5">
        <w:rPr>
          <w:rFonts w:ascii="Open Sans" w:hAnsi="Open Sans" w:cs="Open Sans"/>
          <w:color w:val="002060"/>
        </w:rPr>
        <w:t>xtrait d’acte de naissance et de mariage</w:t>
      </w:r>
    </w:p>
    <w:p w14:paraId="10887B0F" w14:textId="77777777" w:rsidR="004E61E5" w:rsidRPr="004E61E5" w:rsidRDefault="00FC40C7" w:rsidP="004E61E5">
      <w:pPr>
        <w:numPr>
          <w:ilvl w:val="0"/>
          <w:numId w:val="36"/>
        </w:numPr>
        <w:ind w:firstLine="0"/>
        <w:jc w:val="both"/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color w:val="002060"/>
        </w:rPr>
        <w:t>pièce</w:t>
      </w:r>
      <w:r w:rsidR="004E61E5" w:rsidRPr="004E61E5">
        <w:rPr>
          <w:rFonts w:ascii="Open Sans" w:hAnsi="Open Sans" w:cs="Open Sans"/>
          <w:color w:val="002060"/>
        </w:rPr>
        <w:t xml:space="preserve"> d’identité</w:t>
      </w:r>
    </w:p>
    <w:bookmarkEnd w:id="9"/>
    <w:p w14:paraId="5EE5A871" w14:textId="77777777" w:rsidR="004E61E5" w:rsidRPr="004E61E5" w:rsidRDefault="004E61E5" w:rsidP="004E61E5">
      <w:p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Ces documents ne révèlent aucun empêchement des parties à la signature des présentes.</w:t>
      </w:r>
    </w:p>
    <w:p w14:paraId="2B7BE785" w14:textId="77777777" w:rsidR="004E61E5" w:rsidRPr="004E61E5" w:rsidRDefault="004E61E5" w:rsidP="004E61E5">
      <w:pPr>
        <w:widowControl w:val="0"/>
        <w:ind w:left="720"/>
        <w:jc w:val="both"/>
        <w:rPr>
          <w:rFonts w:ascii="Open Sans" w:hAnsi="Open Sans" w:cs="Open Sans"/>
          <w:color w:val="002060"/>
        </w:rPr>
      </w:pPr>
    </w:p>
    <w:p w14:paraId="4B6DA571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</w:rPr>
        <w:t xml:space="preserve">- </w:t>
      </w:r>
      <w:r w:rsidRPr="004E61E5">
        <w:rPr>
          <w:rFonts w:ascii="Open Sans" w:hAnsi="Open Sans" w:cs="Open Sans"/>
          <w:b/>
          <w:color w:val="002060"/>
          <w:u w:val="single"/>
        </w:rPr>
        <w:t>PREMIERE PARTIE</w:t>
      </w:r>
      <w:r w:rsidRPr="004E61E5">
        <w:rPr>
          <w:rFonts w:ascii="Open Sans" w:hAnsi="Open Sans" w:cs="Open Sans"/>
          <w:b/>
          <w:color w:val="002060"/>
        </w:rPr>
        <w:t xml:space="preserve"> -</w:t>
      </w:r>
    </w:p>
    <w:p w14:paraId="4870CEDF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 xml:space="preserve">MOTIVATIONS DES PARTIES </w:t>
      </w:r>
    </w:p>
    <w:p w14:paraId="2ABD0D4A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</w:p>
    <w:p w14:paraId="31B3A647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I°/ Exposé de la situation actuelle</w:t>
      </w:r>
    </w:p>
    <w:p w14:paraId="53FEB5D4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Les parties aux présentes déclarent qu’ils sont </w:t>
      </w:r>
      <w:r w:rsidR="009C2F28">
        <w:rPr>
          <w:rFonts w:ascii="Open Sans" w:hAnsi="Open Sans" w:cs="Open Sans"/>
          <w:color w:val="002060"/>
        </w:rPr>
        <w:t>détenteurs</w:t>
      </w:r>
      <w:r w:rsidRPr="004E61E5">
        <w:rPr>
          <w:rFonts w:ascii="Open Sans" w:hAnsi="Open Sans" w:cs="Open Sans"/>
          <w:color w:val="002060"/>
        </w:rPr>
        <w:t>, respectivement de l’usufruit et de la nue-propriété, des biens immobiliers dont la désignation suit :</w:t>
      </w:r>
    </w:p>
    <w:p w14:paraId="6D925D28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230CAAE3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i/>
          <w:color w:val="002060"/>
        </w:rPr>
      </w:pPr>
      <w:r w:rsidRPr="004E61E5">
        <w:rPr>
          <w:rFonts w:ascii="Open Sans" w:hAnsi="Open Sans" w:cs="Open Sans"/>
          <w:b/>
          <w:i/>
          <w:color w:val="002060"/>
        </w:rPr>
        <w:t>A°/ Désignation</w:t>
      </w:r>
    </w:p>
    <w:p w14:paraId="38049AE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23B7AB52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i/>
          <w:color w:val="002060"/>
        </w:rPr>
      </w:pPr>
      <w:r w:rsidRPr="00B56DAE">
        <w:rPr>
          <w:rFonts w:ascii="Open Sans" w:hAnsi="Open Sans" w:cs="Open Sans"/>
          <w:b/>
          <w:i/>
          <w:color w:val="002060"/>
        </w:rPr>
        <w:t>B°/ Origine de propriété et modalité</w:t>
      </w:r>
      <w:r w:rsidR="00FC40C7" w:rsidRPr="00B56DAE">
        <w:rPr>
          <w:rFonts w:ascii="Open Sans" w:hAnsi="Open Sans" w:cs="Open Sans"/>
          <w:b/>
          <w:i/>
          <w:color w:val="002060"/>
        </w:rPr>
        <w:t>s</w:t>
      </w:r>
      <w:r w:rsidRPr="00B56DAE">
        <w:rPr>
          <w:rFonts w:ascii="Open Sans" w:hAnsi="Open Sans" w:cs="Open Sans"/>
          <w:b/>
          <w:i/>
          <w:color w:val="002060"/>
        </w:rPr>
        <w:t xml:space="preserve"> du démembrement de propriété</w:t>
      </w:r>
    </w:p>
    <w:p w14:paraId="583437FD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6654BE86" w14:textId="44303944" w:rsidR="009C2F28" w:rsidRPr="00B56DAE" w:rsidRDefault="001B5D73" w:rsidP="004E61E5">
      <w:pPr>
        <w:widowControl w:val="0"/>
        <w:ind w:firstLine="709"/>
        <w:jc w:val="both"/>
        <w:rPr>
          <w:rFonts w:ascii="Open Sans" w:hAnsi="Open Sans" w:cs="Open Sans"/>
          <w:i/>
          <w:color w:val="002060"/>
        </w:rPr>
      </w:pPr>
      <w:r>
        <w:rPr>
          <w:rFonts w:ascii="Open Sans" w:hAnsi="Open Sans" w:cs="Open Sans"/>
          <w:i/>
          <w:color w:val="002060"/>
        </w:rPr>
        <w:t xml:space="preserve">(Il conviendra </w:t>
      </w:r>
      <w:r w:rsidR="009C2F28" w:rsidRPr="00B56DAE">
        <w:rPr>
          <w:rFonts w:ascii="Open Sans" w:hAnsi="Open Sans" w:cs="Open Sans"/>
          <w:i/>
          <w:color w:val="002060"/>
        </w:rPr>
        <w:t xml:space="preserve">de relater </w:t>
      </w:r>
      <w:r>
        <w:rPr>
          <w:rFonts w:ascii="Open Sans" w:hAnsi="Open Sans" w:cs="Open Sans"/>
          <w:i/>
          <w:color w:val="002060"/>
        </w:rPr>
        <w:t xml:space="preserve">ici </w:t>
      </w:r>
      <w:r w:rsidR="009C2F28" w:rsidRPr="00B56DAE">
        <w:rPr>
          <w:rFonts w:ascii="Open Sans" w:hAnsi="Open Sans" w:cs="Open Sans"/>
          <w:i/>
          <w:color w:val="002060"/>
        </w:rPr>
        <w:t>l’origine de la détention de l’usufruit – donation, succession, etc- et sa nature</w:t>
      </w:r>
      <w:r w:rsidR="00D5791E" w:rsidRPr="00B56DAE">
        <w:rPr>
          <w:rFonts w:ascii="Open Sans" w:hAnsi="Open Sans" w:cs="Open Sans"/>
          <w:i/>
          <w:color w:val="002060"/>
        </w:rPr>
        <w:t xml:space="preserve"> (usufruit temporaire, réversion d’usufruit, etc)</w:t>
      </w:r>
      <w:r w:rsidR="009C2F28" w:rsidRPr="00B56DAE">
        <w:rPr>
          <w:rFonts w:ascii="Open Sans" w:hAnsi="Open Sans" w:cs="Open Sans"/>
          <w:i/>
          <w:color w:val="002060"/>
        </w:rPr>
        <w:t xml:space="preserve">, afin d’en tenir compte </w:t>
      </w:r>
      <w:r w:rsidR="00D5791E" w:rsidRPr="00B56DAE">
        <w:rPr>
          <w:rFonts w:ascii="Open Sans" w:hAnsi="Open Sans" w:cs="Open Sans"/>
          <w:i/>
          <w:color w:val="002060"/>
        </w:rPr>
        <w:t>pour la rédaction de la</w:t>
      </w:r>
      <w:r w:rsidR="009C2F28" w:rsidRPr="00B56DAE">
        <w:rPr>
          <w:rFonts w:ascii="Open Sans" w:hAnsi="Open Sans" w:cs="Open Sans"/>
          <w:i/>
          <w:color w:val="002060"/>
        </w:rPr>
        <w:t xml:space="preserve"> convention)</w:t>
      </w:r>
    </w:p>
    <w:p w14:paraId="5C1DFDCF" w14:textId="77777777" w:rsidR="009C2F28" w:rsidRPr="00B56DAE" w:rsidRDefault="009C2F28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059ED3F5" w14:textId="77777777" w:rsidR="004E61E5" w:rsidRPr="00B56DAE" w:rsidRDefault="004E61E5" w:rsidP="004E61E5">
      <w:pPr>
        <w:ind w:firstLine="709"/>
        <w:jc w:val="both"/>
        <w:rPr>
          <w:rFonts w:ascii="Open Sans" w:hAnsi="Open Sans" w:cs="Open Sans"/>
          <w:b/>
          <w:color w:val="002060"/>
          <w:u w:val="single"/>
        </w:rPr>
      </w:pPr>
      <w:r w:rsidRPr="00B56DAE">
        <w:rPr>
          <w:rFonts w:ascii="Open Sans" w:hAnsi="Open Sans" w:cs="Open Sans"/>
          <w:b/>
          <w:color w:val="002060"/>
          <w:u w:val="single"/>
        </w:rPr>
        <w:t xml:space="preserve">II°/ Données complémentaires </w:t>
      </w:r>
    </w:p>
    <w:p w14:paraId="393604BE" w14:textId="77777777" w:rsidR="004E61E5" w:rsidRPr="00B56DAE" w:rsidRDefault="004E61E5" w:rsidP="004E61E5">
      <w:pPr>
        <w:ind w:firstLine="709"/>
        <w:jc w:val="both"/>
        <w:rPr>
          <w:rFonts w:ascii="Open Sans" w:hAnsi="Open Sans" w:cs="Open Sans"/>
          <w:b/>
          <w:bCs/>
          <w:color w:val="002060"/>
          <w:u w:val="single"/>
        </w:rPr>
      </w:pPr>
    </w:p>
    <w:p w14:paraId="6860C357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>Pour les besoins de</w:t>
      </w:r>
      <w:r w:rsidR="00FC40C7" w:rsidRPr="00B56DAE">
        <w:rPr>
          <w:rFonts w:ascii="Open Sans" w:hAnsi="Open Sans" w:cs="Open Sans"/>
          <w:color w:val="002060"/>
        </w:rPr>
        <w:t>s</w:t>
      </w:r>
      <w:r w:rsidRPr="00B56DAE">
        <w:rPr>
          <w:rFonts w:ascii="Open Sans" w:hAnsi="Open Sans" w:cs="Open Sans"/>
          <w:color w:val="002060"/>
        </w:rPr>
        <w:t xml:space="preserve"> présentes, il est ci-après rappelé :</w:t>
      </w:r>
    </w:p>
    <w:p w14:paraId="6332C409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b/>
          <w:bCs/>
          <w:color w:val="002060"/>
          <w:u w:val="single"/>
        </w:rPr>
      </w:pPr>
    </w:p>
    <w:p w14:paraId="2D97688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i/>
          <w:color w:val="002060"/>
        </w:rPr>
      </w:pPr>
      <w:r w:rsidRPr="004E61E5">
        <w:rPr>
          <w:rFonts w:ascii="Open Sans" w:hAnsi="Open Sans" w:cs="Open Sans"/>
          <w:b/>
          <w:i/>
          <w:color w:val="002060"/>
        </w:rPr>
        <w:t>A°/  Age de l’usufruitier</w:t>
      </w:r>
    </w:p>
    <w:p w14:paraId="24920C63" w14:textId="77777777" w:rsidR="004E61E5" w:rsidRPr="004E61E5" w:rsidRDefault="004E61E5" w:rsidP="004E61E5">
      <w:pPr>
        <w:widowControl w:val="0"/>
        <w:ind w:firstLine="709"/>
        <w:jc w:val="center"/>
        <w:rPr>
          <w:rFonts w:ascii="Open Sans" w:hAnsi="Open Sans" w:cs="Open Sans"/>
          <w:b/>
          <w:bCs/>
          <w:color w:val="002060"/>
          <w:u w:val="single"/>
        </w:rPr>
      </w:pPr>
    </w:p>
    <w:p w14:paraId="11F209C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Monsieur et Madame, usufruitiers, ont respectivement … ans et … ans.</w:t>
      </w:r>
    </w:p>
    <w:p w14:paraId="0D6E1301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52DBBC91" w14:textId="77777777" w:rsidR="004E61E5" w:rsidRPr="004E61E5" w:rsidRDefault="00FC40C7" w:rsidP="004E61E5">
      <w:pPr>
        <w:widowControl w:val="0"/>
        <w:ind w:firstLine="709"/>
        <w:jc w:val="both"/>
        <w:rPr>
          <w:rFonts w:ascii="Open Sans" w:hAnsi="Open Sans" w:cs="Open Sans"/>
          <w:b/>
          <w:i/>
          <w:color w:val="002060"/>
        </w:rPr>
      </w:pPr>
      <w:r>
        <w:rPr>
          <w:rFonts w:ascii="Open Sans" w:hAnsi="Open Sans" w:cs="Open Sans"/>
          <w:b/>
          <w:i/>
          <w:color w:val="002060"/>
        </w:rPr>
        <w:t>B°/ R</w:t>
      </w:r>
      <w:r w:rsidR="004E61E5" w:rsidRPr="004E61E5">
        <w:rPr>
          <w:rFonts w:ascii="Open Sans" w:hAnsi="Open Sans" w:cs="Open Sans"/>
          <w:b/>
          <w:i/>
          <w:color w:val="002060"/>
        </w:rPr>
        <w:t>entabilité estimée des biens immobiliers</w:t>
      </w:r>
    </w:p>
    <w:p w14:paraId="52DDF126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  <w:u w:val="single"/>
        </w:rPr>
      </w:pPr>
    </w:p>
    <w:p w14:paraId="27791CEB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Les parties aux présentes déclarent que les biens sont loués à M… aux termes d’un bail en date du </w:t>
      </w:r>
      <w:r w:rsidR="00FC40C7">
        <w:rPr>
          <w:rFonts w:ascii="Open Sans" w:hAnsi="Open Sans" w:cs="Open Sans"/>
          <w:color w:val="002060"/>
        </w:rPr>
        <w:t>*****</w:t>
      </w:r>
      <w:r w:rsidRPr="004E61E5">
        <w:rPr>
          <w:rFonts w:ascii="Open Sans" w:hAnsi="Open Sans" w:cs="Open Sans"/>
          <w:color w:val="002060"/>
        </w:rPr>
        <w:t>, pour une durée de 3 ans ayant commencé à courir le …, moyennant le versement d’un loyer mensuel, hors charges, de … euros.</w:t>
      </w:r>
    </w:p>
    <w:p w14:paraId="6C571C3D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i/>
          <w:color w:val="002060"/>
        </w:rPr>
      </w:pPr>
      <w:r w:rsidRPr="004E61E5">
        <w:rPr>
          <w:rFonts w:ascii="Open Sans" w:hAnsi="Open Sans" w:cs="Open Sans"/>
          <w:i/>
          <w:color w:val="002060"/>
        </w:rPr>
        <w:t>(si le bien immobilier n’est pas loué, il convient alors d’estimer sa valeur locative en annexant le rapport d’un expert immobilier)</w:t>
      </w:r>
    </w:p>
    <w:p w14:paraId="64E34B31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  <w:u w:val="single"/>
        </w:rPr>
      </w:pPr>
    </w:p>
    <w:p w14:paraId="7EC87A87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III°/ Projet de vente de l’immeuble</w:t>
      </w:r>
    </w:p>
    <w:p w14:paraId="6C11842D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bCs/>
          <w:color w:val="002060"/>
        </w:rPr>
      </w:pPr>
    </w:p>
    <w:p w14:paraId="7708AB5B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Les parties aux présentes déclarent vouloir, unanimement, vendre les biens immobiliers</w:t>
      </w:r>
      <w:r w:rsidR="00FC40C7">
        <w:rPr>
          <w:rFonts w:ascii="Open Sans" w:hAnsi="Open Sans" w:cs="Open Sans"/>
          <w:color w:val="002060"/>
        </w:rPr>
        <w:t xml:space="preserve"> sus désignés</w:t>
      </w:r>
      <w:r w:rsidRPr="004E61E5">
        <w:rPr>
          <w:rFonts w:ascii="Open Sans" w:hAnsi="Open Sans" w:cs="Open Sans"/>
          <w:color w:val="002060"/>
        </w:rPr>
        <w:t>.</w:t>
      </w:r>
    </w:p>
    <w:p w14:paraId="22A2A963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Lesdits biens immobiliers, en suite de rapports d’expertises (ou avis de valeur…) demeurés ci-annexés, sont évalués à la somme de </w:t>
      </w:r>
      <w:r w:rsidR="00FC40C7">
        <w:rPr>
          <w:rFonts w:ascii="Open Sans" w:hAnsi="Open Sans" w:cs="Open Sans"/>
          <w:color w:val="002060"/>
        </w:rPr>
        <w:t>*****.</w:t>
      </w:r>
    </w:p>
    <w:p w14:paraId="55490106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6CB916A6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IV°/ Projet de vente de l’immeuble</w:t>
      </w:r>
    </w:p>
    <w:p w14:paraId="13A6C57C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7FF2DE2A" w14:textId="77777777" w:rsidR="004E61E5" w:rsidRPr="004E61E5" w:rsidRDefault="004E61E5" w:rsidP="004E61E5">
      <w:pPr>
        <w:widowControl w:val="0"/>
        <w:numPr>
          <w:ilvl w:val="0"/>
          <w:numId w:val="37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Motivations de l’usufruitier</w:t>
      </w:r>
    </w:p>
    <w:p w14:paraId="2341F356" w14:textId="77777777" w:rsidR="004E61E5" w:rsidRPr="004E61E5" w:rsidRDefault="004E61E5" w:rsidP="004E61E5">
      <w:pPr>
        <w:widowControl w:val="0"/>
        <w:ind w:left="1069"/>
        <w:jc w:val="both"/>
        <w:rPr>
          <w:rFonts w:ascii="Open Sans" w:hAnsi="Open Sans" w:cs="Open Sans"/>
          <w:color w:val="002060"/>
        </w:rPr>
      </w:pPr>
    </w:p>
    <w:p w14:paraId="3420EA4F" w14:textId="77777777" w:rsidR="004E61E5" w:rsidRPr="004E61E5" w:rsidRDefault="004E61E5" w:rsidP="004E61E5">
      <w:pPr>
        <w:widowControl w:val="0"/>
        <w:numPr>
          <w:ilvl w:val="0"/>
          <w:numId w:val="37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Motivations du nu-propriétaire</w:t>
      </w:r>
    </w:p>
    <w:p w14:paraId="6DC997C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69D0F7F9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</w:rPr>
        <w:t xml:space="preserve">- </w:t>
      </w:r>
      <w:r w:rsidRPr="004E61E5">
        <w:rPr>
          <w:rFonts w:ascii="Open Sans" w:hAnsi="Open Sans" w:cs="Open Sans"/>
          <w:b/>
          <w:color w:val="002060"/>
          <w:u w:val="single"/>
        </w:rPr>
        <w:t>DEUXIEME PARTIE</w:t>
      </w:r>
      <w:r w:rsidRPr="004E61E5">
        <w:rPr>
          <w:rFonts w:ascii="Open Sans" w:hAnsi="Open Sans" w:cs="Open Sans"/>
          <w:b/>
          <w:color w:val="002060"/>
        </w:rPr>
        <w:t xml:space="preserve"> -</w:t>
      </w:r>
    </w:p>
    <w:p w14:paraId="10C5F256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RAPPEL DES PRINCIPES LEGAUX</w:t>
      </w:r>
    </w:p>
    <w:p w14:paraId="14EE8FC8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</w:p>
    <w:p w14:paraId="1F0EAA86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En application de l’article 617 du Code civil, ci-après littéralement relaté, il convient de préciser que :</w:t>
      </w:r>
    </w:p>
    <w:p w14:paraId="10B0995E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« L'usufruit s'éteint :</w:t>
      </w:r>
    </w:p>
    <w:p w14:paraId="61F877F3" w14:textId="77777777" w:rsidR="004E61E5" w:rsidRPr="004E61E5" w:rsidRDefault="004E61E5" w:rsidP="004E61E5">
      <w:pPr>
        <w:numPr>
          <w:ilvl w:val="0"/>
          <w:numId w:val="34"/>
        </w:numPr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Par la mort de l'usufruitier ;</w:t>
      </w:r>
    </w:p>
    <w:p w14:paraId="141E8616" w14:textId="77777777" w:rsidR="004E61E5" w:rsidRPr="004E61E5" w:rsidRDefault="004E61E5" w:rsidP="004E61E5">
      <w:pPr>
        <w:numPr>
          <w:ilvl w:val="0"/>
          <w:numId w:val="34"/>
        </w:numPr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Par l'expiration du temps pour lequel il a été accordé ;</w:t>
      </w:r>
    </w:p>
    <w:p w14:paraId="720AC78A" w14:textId="77777777" w:rsidR="004E61E5" w:rsidRPr="004E61E5" w:rsidRDefault="004E61E5" w:rsidP="004E61E5">
      <w:pPr>
        <w:numPr>
          <w:ilvl w:val="0"/>
          <w:numId w:val="34"/>
        </w:numPr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Par la consolidation ou la réunion sur la même tête, des deux qualités d'usufruitier et de propriétaire ;</w:t>
      </w:r>
    </w:p>
    <w:p w14:paraId="2295F943" w14:textId="77777777" w:rsidR="004E61E5" w:rsidRPr="004E61E5" w:rsidRDefault="004E61E5" w:rsidP="004E61E5">
      <w:pPr>
        <w:numPr>
          <w:ilvl w:val="0"/>
          <w:numId w:val="34"/>
        </w:numPr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Par le non-usage du droit pendant trente ans ;</w:t>
      </w:r>
    </w:p>
    <w:p w14:paraId="6E884A31" w14:textId="77777777" w:rsidR="004E61E5" w:rsidRPr="004E61E5" w:rsidRDefault="004E61E5" w:rsidP="004E61E5">
      <w:pPr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i/>
          <w:iCs/>
          <w:color w:val="002060"/>
        </w:rPr>
        <w:t>Par la perte totale de la chose sur laquelle l'usufruit est établi.</w:t>
      </w:r>
      <w:r w:rsidRPr="004E61E5">
        <w:rPr>
          <w:rFonts w:ascii="Open Sans" w:hAnsi="Open Sans" w:cs="Open Sans"/>
          <w:color w:val="002060"/>
        </w:rPr>
        <w:t> »</w:t>
      </w:r>
    </w:p>
    <w:p w14:paraId="7D93253F" w14:textId="77777777" w:rsidR="004E61E5" w:rsidRPr="004E61E5" w:rsidRDefault="004E61E5" w:rsidP="004E61E5">
      <w:pPr>
        <w:ind w:firstLine="709"/>
        <w:jc w:val="both"/>
        <w:rPr>
          <w:rFonts w:ascii="Open Sans" w:hAnsi="Open Sans"/>
          <w:color w:val="002060"/>
        </w:rPr>
      </w:pPr>
    </w:p>
    <w:p w14:paraId="1108CE03" w14:textId="77777777" w:rsidR="004E61E5" w:rsidRPr="004E61E5" w:rsidRDefault="004E61E5" w:rsidP="004E61E5">
      <w:pPr>
        <w:shd w:val="clear" w:color="auto" w:fill="FFFFFF"/>
        <w:spacing w:after="240"/>
        <w:ind w:firstLine="708"/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color w:val="002060"/>
        </w:rPr>
        <w:t>En outre, l’article 621 du Code civil précise spécifiquement en son alinéa 1</w:t>
      </w:r>
      <w:r w:rsidRPr="004E61E5">
        <w:rPr>
          <w:rFonts w:ascii="Open Sans" w:hAnsi="Open Sans" w:cs="Open Sans"/>
          <w:color w:val="002060"/>
          <w:vertAlign w:val="superscript"/>
        </w:rPr>
        <w:t>er</w:t>
      </w:r>
      <w:r w:rsidRPr="004E61E5">
        <w:rPr>
          <w:rFonts w:ascii="Open Sans" w:hAnsi="Open Sans" w:cs="Open Sans"/>
          <w:color w:val="002060"/>
        </w:rPr>
        <w:t xml:space="preserve"> qu’« </w:t>
      </w:r>
      <w:r w:rsidRPr="004E61E5">
        <w:rPr>
          <w:rFonts w:ascii="Open Sans" w:hAnsi="Open Sans" w:cs="Open Sans"/>
          <w:i/>
          <w:iCs/>
          <w:color w:val="002060"/>
        </w:rPr>
        <w:t>en cas de vente simultanée de l'usufruit et de la nue-propriété d'un bien, le prix se répartit entre l'usufruit et la nue-propriété selon la valeur respective de chacun de ces droits, sauf accord des parties pour reporter l'usufruit sur le prix. »</w:t>
      </w:r>
    </w:p>
    <w:p w14:paraId="19D400C4" w14:textId="77777777" w:rsidR="004E61E5" w:rsidRPr="004E61E5" w:rsidRDefault="004E61E5" w:rsidP="004E61E5">
      <w:pPr>
        <w:shd w:val="clear" w:color="auto" w:fill="FFFFFF"/>
        <w:spacing w:after="240"/>
        <w:ind w:firstLine="708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Les parties doivent :</w:t>
      </w:r>
    </w:p>
    <w:p w14:paraId="752E111A" w14:textId="77777777" w:rsidR="004E61E5" w:rsidRPr="00B56DAE" w:rsidRDefault="009C2F28" w:rsidP="004E61E5">
      <w:pPr>
        <w:shd w:val="clear" w:color="auto" w:fill="FFFFFF"/>
        <w:spacing w:after="240"/>
        <w:ind w:firstLine="708"/>
        <w:jc w:val="both"/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color w:val="002060"/>
        </w:rPr>
        <w:t>- en</w:t>
      </w:r>
      <w:r w:rsidR="004E61E5" w:rsidRPr="004E61E5">
        <w:rPr>
          <w:rFonts w:ascii="Open Sans" w:hAnsi="Open Sans" w:cs="Open Sans"/>
          <w:color w:val="002060"/>
        </w:rPr>
        <w:t xml:space="preserve"> principe se répartir le </w:t>
      </w:r>
      <w:r w:rsidR="004E61E5" w:rsidRPr="00B56DAE">
        <w:rPr>
          <w:rFonts w:ascii="Open Sans" w:hAnsi="Open Sans" w:cs="Open Sans"/>
          <w:color w:val="002060"/>
        </w:rPr>
        <w:t>produit de la vente,</w:t>
      </w:r>
    </w:p>
    <w:p w14:paraId="0353119A" w14:textId="77777777" w:rsidR="004E61E5" w:rsidRPr="00B56DAE" w:rsidRDefault="004E61E5" w:rsidP="004E61E5">
      <w:pPr>
        <w:shd w:val="clear" w:color="auto" w:fill="FFFFFF"/>
        <w:spacing w:after="240"/>
        <w:ind w:firstLine="708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- et par exception, après convention matérialisant </w:t>
      </w:r>
      <w:r w:rsidR="00D5791E" w:rsidRPr="00B56DAE">
        <w:rPr>
          <w:rFonts w:ascii="Open Sans" w:hAnsi="Open Sans" w:cs="Open Sans"/>
          <w:color w:val="002060"/>
        </w:rPr>
        <w:t xml:space="preserve">l’accord de l’usufruitier et du nu-propriétaire, </w:t>
      </w:r>
      <w:r w:rsidRPr="00B56DAE">
        <w:rPr>
          <w:rFonts w:ascii="Open Sans" w:hAnsi="Open Sans" w:cs="Open Sans"/>
          <w:color w:val="002060"/>
        </w:rPr>
        <w:t>reporter l’usufruit sur le prix de vente.</w:t>
      </w:r>
    </w:p>
    <w:p w14:paraId="24D6FDDD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>La présente convention aura donc pour</w:t>
      </w:r>
      <w:r w:rsidRPr="004E61E5">
        <w:rPr>
          <w:rFonts w:ascii="Open Sans" w:hAnsi="Open Sans" w:cs="Open Sans"/>
          <w:color w:val="002060"/>
        </w:rPr>
        <w:t xml:space="preserve"> objet de définir le sort du produit de la future vente et de matérialiser le choix sur lequel USUFRUITIER et NU-PROPRIETAIRE se sont accordés.</w:t>
      </w:r>
    </w:p>
    <w:p w14:paraId="66D5D49D" w14:textId="77777777" w:rsid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ab/>
      </w:r>
    </w:p>
    <w:p w14:paraId="344A66E6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</w:rPr>
        <w:t xml:space="preserve">- </w:t>
      </w:r>
      <w:r w:rsidRPr="004E61E5">
        <w:rPr>
          <w:rFonts w:ascii="Open Sans" w:hAnsi="Open Sans" w:cs="Open Sans"/>
          <w:b/>
          <w:color w:val="002060"/>
          <w:u w:val="single"/>
        </w:rPr>
        <w:t>TROISIEME PARTIE</w:t>
      </w:r>
      <w:r w:rsidRPr="004E61E5">
        <w:rPr>
          <w:rFonts w:ascii="Open Sans" w:hAnsi="Open Sans" w:cs="Open Sans"/>
          <w:b/>
          <w:color w:val="002060"/>
        </w:rPr>
        <w:t xml:space="preserve"> -</w:t>
      </w:r>
    </w:p>
    <w:p w14:paraId="255A538F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PRESENTATION DES DIFFERENTES POSSIBILITES DE REPARTITION DU PRIX DE VENTE</w:t>
      </w:r>
    </w:p>
    <w:p w14:paraId="15444BCD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781CA972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ab/>
        <w:t>Dans le cadre de la future vente, plusieurs options s’offrent aux parties. Ces derniers peuvent :</w:t>
      </w:r>
    </w:p>
    <w:p w14:paraId="7E9D8088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Se répartir le prix de vente selon leurs droits respectifs sur le bien vendu, </w:t>
      </w:r>
    </w:p>
    <w:p w14:paraId="7B58E700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Reporter le démembrement sur le prix de vente et le remployer, </w:t>
      </w:r>
    </w:p>
    <w:p w14:paraId="1CA2E61C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Maintenir le prix de vente entre les mains de l’usufruiti</w:t>
      </w:r>
      <w:r w:rsidR="00FC40C7">
        <w:rPr>
          <w:rFonts w:ascii="Open Sans" w:hAnsi="Open Sans" w:cs="Open Sans"/>
          <w:color w:val="002060"/>
        </w:rPr>
        <w:t>e</w:t>
      </w:r>
      <w:r w:rsidRPr="004E61E5">
        <w:rPr>
          <w:rFonts w:ascii="Open Sans" w:hAnsi="Open Sans" w:cs="Open Sans"/>
          <w:color w:val="002060"/>
        </w:rPr>
        <w:t>r au titre d’une convention de quasi-usufruit.</w:t>
      </w:r>
    </w:p>
    <w:p w14:paraId="3062846F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</w:p>
    <w:p w14:paraId="4E7F5C02" w14:textId="77777777" w:rsidR="004E61E5" w:rsidRPr="004E61E5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Afin de c</w:t>
      </w:r>
      <w:r w:rsidR="00FC40C7">
        <w:rPr>
          <w:rFonts w:ascii="Open Sans" w:hAnsi="Open Sans" w:cs="Open Sans"/>
          <w:color w:val="002060"/>
        </w:rPr>
        <w:t>hoisir la meilleure option, le n</w:t>
      </w:r>
      <w:r w:rsidRPr="004E61E5">
        <w:rPr>
          <w:rFonts w:ascii="Open Sans" w:hAnsi="Open Sans" w:cs="Open Sans"/>
          <w:color w:val="002060"/>
        </w:rPr>
        <w:t>otaire</w:t>
      </w:r>
      <w:r w:rsidR="00FC40C7">
        <w:rPr>
          <w:rFonts w:ascii="Open Sans" w:hAnsi="Open Sans" w:cs="Open Sans"/>
          <w:color w:val="002060"/>
        </w:rPr>
        <w:t xml:space="preserve"> soussigné </w:t>
      </w:r>
      <w:r w:rsidRPr="004E61E5">
        <w:rPr>
          <w:rFonts w:ascii="Open Sans" w:hAnsi="Open Sans" w:cs="Open Sans"/>
          <w:color w:val="002060"/>
        </w:rPr>
        <w:t>expose les distinctions suivantes :</w:t>
      </w:r>
    </w:p>
    <w:p w14:paraId="06F98FB9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2F0B5B43" w14:textId="77777777" w:rsidR="004E61E5" w:rsidRPr="004E61E5" w:rsidRDefault="004E61E5" w:rsidP="004E61E5">
      <w:pPr>
        <w:widowControl w:val="0"/>
        <w:numPr>
          <w:ilvl w:val="0"/>
          <w:numId w:val="32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b/>
          <w:bCs/>
          <w:color w:val="002060"/>
        </w:rPr>
        <w:t>Distinction entre l’application du barème fiscal et l’usufruit économique</w:t>
      </w:r>
    </w:p>
    <w:p w14:paraId="61B8F5E0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0FBD78BB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i/>
          <w:iCs/>
          <w:color w:val="002060"/>
        </w:rPr>
      </w:pPr>
      <w:r w:rsidRPr="004E61E5">
        <w:rPr>
          <w:rFonts w:ascii="Open Sans" w:hAnsi="Open Sans" w:cs="Open Sans"/>
          <w:color w:val="002060"/>
        </w:rPr>
        <w:t>L’article 669 du Code général des impôts dispose qu’ « </w:t>
      </w:r>
      <w:r w:rsidRPr="004E61E5">
        <w:rPr>
          <w:rFonts w:ascii="Open Sans" w:hAnsi="Open Sans" w:cs="Open Sans"/>
          <w:i/>
          <w:iCs/>
          <w:color w:val="002060"/>
        </w:rPr>
        <w:t xml:space="preserve">en matière de liquidation des droits d’enregistrement et de la taxe de publicité foncière, la valeur de la nue-propriété et de l’usufruit est déterminée par une quotité de la valeur de la propriété entière, conformément au barème ci-après : </w:t>
      </w:r>
    </w:p>
    <w:p w14:paraId="72CD560D" w14:textId="77777777" w:rsid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i/>
          <w:iCs/>
          <w:color w:val="002060"/>
        </w:rPr>
      </w:pPr>
    </w:p>
    <w:p w14:paraId="4A6B32CC" w14:textId="77777777" w:rsidR="00FC40C7" w:rsidRPr="004E61E5" w:rsidRDefault="00FC40C7" w:rsidP="004E61E5">
      <w:pPr>
        <w:widowControl w:val="0"/>
        <w:ind w:firstLine="709"/>
        <w:jc w:val="both"/>
        <w:rPr>
          <w:rFonts w:ascii="Open Sans" w:hAnsi="Open Sans" w:cs="Open Sans"/>
          <w:i/>
          <w:iCs/>
          <w:color w:val="002060"/>
        </w:rPr>
      </w:pPr>
    </w:p>
    <w:p w14:paraId="0D88A28A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i/>
          <w:iCs/>
          <w:color w:val="002060"/>
        </w:rPr>
      </w:pPr>
    </w:p>
    <w:tbl>
      <w:tblPr>
        <w:tblW w:w="6869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8"/>
        <w:gridCol w:w="1686"/>
        <w:gridCol w:w="2445"/>
      </w:tblGrid>
      <w:tr w:rsidR="004E61E5" w:rsidRPr="004E61E5" w14:paraId="7A98D513" w14:textId="77777777" w:rsidTr="00F263F0">
        <w:trPr>
          <w:trHeight w:val="401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DD04739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lastRenderedPageBreak/>
              <w:t>AGE</w:t>
            </w: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br/>
              <w:t>de l'usufruitier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A492D4C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VALEUR</w:t>
            </w: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br/>
              <w:t>de l'usufruit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45BA368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VALEUR</w:t>
            </w: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br/>
              <w:t>de la nue-propriété</w:t>
            </w:r>
          </w:p>
        </w:tc>
      </w:tr>
      <w:tr w:rsidR="004E61E5" w:rsidRPr="004E61E5" w14:paraId="2C7AA261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4332353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Moins de 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8DF16DF" w14:textId="77777777" w:rsidR="004E61E5" w:rsidRPr="004E61E5" w:rsidRDefault="004E61E5" w:rsidP="004E61E5">
            <w:pPr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17D3C2F" w14:textId="77777777" w:rsidR="004E61E5" w:rsidRPr="004E61E5" w:rsidRDefault="004E61E5" w:rsidP="004E61E5">
            <w:pPr>
              <w:rPr>
                <w:rFonts w:ascii="Times New Roman" w:hAnsi="Times New Roman"/>
                <w:i/>
                <w:iCs/>
                <w:color w:val="002060"/>
                <w:sz w:val="18"/>
                <w:szCs w:val="18"/>
              </w:rPr>
            </w:pPr>
          </w:p>
        </w:tc>
      </w:tr>
      <w:tr w:rsidR="004E61E5" w:rsidRPr="004E61E5" w14:paraId="4A0C8E06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B42BC4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21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5FFF7D0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90 %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7D2B8E8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10 %</w:t>
            </w:r>
          </w:p>
        </w:tc>
      </w:tr>
      <w:tr w:rsidR="004E61E5" w:rsidRPr="004E61E5" w14:paraId="15D395B8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EB14BAD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31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2B12156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80 %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058B2E3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20 %</w:t>
            </w:r>
          </w:p>
        </w:tc>
      </w:tr>
      <w:tr w:rsidR="004E61E5" w:rsidRPr="004E61E5" w14:paraId="37B2EFA6" w14:textId="77777777" w:rsidTr="00F263F0">
        <w:trPr>
          <w:trHeight w:val="276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1237301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41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7FFF248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70 %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0FEBD5A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30 %</w:t>
            </w:r>
          </w:p>
        </w:tc>
      </w:tr>
      <w:tr w:rsidR="004E61E5" w:rsidRPr="004E61E5" w14:paraId="2EB4B252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6A097DB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51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9EEA39F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60 %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07D64B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40 %</w:t>
            </w:r>
          </w:p>
        </w:tc>
      </w:tr>
      <w:tr w:rsidR="004E61E5" w:rsidRPr="004E61E5" w14:paraId="3DEBC472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6529BAAB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61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CEB2BE2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50 %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4FF36F2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50 %</w:t>
            </w:r>
          </w:p>
        </w:tc>
      </w:tr>
      <w:tr w:rsidR="004E61E5" w:rsidRPr="004E61E5" w14:paraId="77D4D511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DC1DC9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71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F6F6FBA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40 %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011E05E5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60 %</w:t>
            </w:r>
          </w:p>
        </w:tc>
      </w:tr>
      <w:tr w:rsidR="004E61E5" w:rsidRPr="004E61E5" w14:paraId="4B438483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AFED3D4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81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114B8C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30 %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B8C2A66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70 %</w:t>
            </w:r>
          </w:p>
        </w:tc>
      </w:tr>
      <w:tr w:rsidR="004E61E5" w:rsidRPr="004E61E5" w14:paraId="27812693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3F805C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91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single" w:sz="6" w:space="0" w:color="D8D8D8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72C4368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20 %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single" w:sz="6" w:space="0" w:color="D8D8D8"/>
              <w:right w:val="nil"/>
            </w:tcBorders>
            <w:shd w:val="clear" w:color="auto" w:fill="EEEEEE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3822BB88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80 %</w:t>
            </w:r>
          </w:p>
        </w:tc>
      </w:tr>
      <w:tr w:rsidR="004E61E5" w:rsidRPr="004E61E5" w14:paraId="635DEC0C" w14:textId="77777777" w:rsidTr="00F263F0">
        <w:trPr>
          <w:trHeight w:val="267"/>
          <w:jc w:val="center"/>
        </w:trPr>
        <w:tc>
          <w:tcPr>
            <w:tcW w:w="0" w:type="auto"/>
            <w:tcBorders>
              <w:top w:val="outset" w:sz="6" w:space="0" w:color="auto"/>
              <w:left w:val="nil"/>
              <w:bottom w:val="nil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0B1AAE6" w14:textId="77777777" w:rsidR="004E61E5" w:rsidRPr="004E61E5" w:rsidRDefault="004E61E5" w:rsidP="004E61E5">
            <w:pPr>
              <w:spacing w:after="240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Plus de 91 ans révolus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single" w:sz="6" w:space="0" w:color="D8D8D8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AF5F6B2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10 %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nil"/>
              <w:right w:val="nil"/>
            </w:tcBorders>
            <w:shd w:val="clear" w:color="auto" w:fill="F5F5F5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905ECE6" w14:textId="77777777" w:rsidR="004E61E5" w:rsidRPr="004E61E5" w:rsidRDefault="004E61E5" w:rsidP="004E61E5">
            <w:pPr>
              <w:spacing w:after="240"/>
              <w:jc w:val="center"/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</w:pPr>
            <w:r w:rsidRPr="004E61E5">
              <w:rPr>
                <w:rFonts w:ascii="Open Sans" w:hAnsi="Open Sans" w:cs="Arial"/>
                <w:b/>
                <w:bCs/>
                <w:i/>
                <w:iCs/>
                <w:color w:val="002060"/>
                <w:sz w:val="18"/>
                <w:szCs w:val="18"/>
              </w:rPr>
              <w:t>90 %</w:t>
            </w:r>
          </w:p>
        </w:tc>
      </w:tr>
    </w:tbl>
    <w:p w14:paraId="253586EA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118590D5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ab/>
        <w:t>Si ce barème est imposé en matière de liquidation de droits d’enregistrement et de taxe de publicité foncière, il est cependant possible dans le cadre d’une vente d’appliquer, pour la</w:t>
      </w:r>
      <w:r w:rsidR="00FC40C7">
        <w:rPr>
          <w:rFonts w:ascii="Open Sans" w:hAnsi="Open Sans" w:cs="Open Sans"/>
          <w:color w:val="002060"/>
        </w:rPr>
        <w:t xml:space="preserve"> répartition du prix de vente, </w:t>
      </w:r>
      <w:r w:rsidRPr="004E61E5">
        <w:rPr>
          <w:rFonts w:ascii="Open Sans" w:hAnsi="Open Sans" w:cs="Open Sans"/>
          <w:color w:val="002060"/>
        </w:rPr>
        <w:t>l’usufruit dit « économique ».</w:t>
      </w:r>
    </w:p>
    <w:p w14:paraId="4C11FC57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</w:p>
    <w:p w14:paraId="690A81F3" w14:textId="77777777" w:rsidR="004E61E5" w:rsidRPr="004E61E5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L’évaluation économique dudit usufruit prend en compte l’âge, l’espérance de vie, le sexe de l’usager, la nature du bien, sa rentabilité… </w:t>
      </w:r>
      <w:r w:rsidR="00FC40C7">
        <w:rPr>
          <w:rFonts w:ascii="Open Sans" w:hAnsi="Open Sans" w:cs="Open Sans"/>
          <w:color w:val="002060"/>
        </w:rPr>
        <w:t xml:space="preserve">. </w:t>
      </w:r>
      <w:r w:rsidRPr="004E61E5">
        <w:rPr>
          <w:rFonts w:ascii="Open Sans" w:hAnsi="Open Sans" w:cs="Open Sans"/>
          <w:color w:val="002060"/>
        </w:rPr>
        <w:t>Ce mode d’évaluation permet de refléter la véritable valeur des droits démembrés.</w:t>
      </w:r>
    </w:p>
    <w:p w14:paraId="53283A24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</w:p>
    <w:p w14:paraId="494B6260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En l’espèce, l’usufruitier, M.X…. âgé de ……, a un usufruit de :</w:t>
      </w:r>
    </w:p>
    <w:p w14:paraId="6C09DAE8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….. % selon le barème fiscal, </w:t>
      </w:r>
    </w:p>
    <w:p w14:paraId="511FF4E9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…… % selon une évaluation économique.</w:t>
      </w:r>
    </w:p>
    <w:p w14:paraId="52036795" w14:textId="77777777" w:rsid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67A9B045" w14:textId="77777777" w:rsidR="00C268C0" w:rsidRDefault="00C268C0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73DC2B8B" w14:textId="77777777" w:rsidR="00B56DAE" w:rsidRDefault="00B56DAE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607F6396" w14:textId="77777777" w:rsidR="00B56DAE" w:rsidRDefault="00B56DAE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121C6782" w14:textId="77777777" w:rsidR="00B56DAE" w:rsidRDefault="00B56DAE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66BB9CEC" w14:textId="77777777" w:rsidR="00C268C0" w:rsidRPr="004E61E5" w:rsidRDefault="00C268C0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467FFA80" w14:textId="77777777" w:rsidR="004E61E5" w:rsidRPr="004E61E5" w:rsidRDefault="004E61E5" w:rsidP="004E61E5">
      <w:pPr>
        <w:widowControl w:val="0"/>
        <w:numPr>
          <w:ilvl w:val="0"/>
          <w:numId w:val="32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b/>
          <w:bCs/>
          <w:color w:val="002060"/>
        </w:rPr>
        <w:lastRenderedPageBreak/>
        <w:t>Remploi des sommes perçues au moyen du barème fiscal</w:t>
      </w:r>
    </w:p>
    <w:p w14:paraId="36B9E880" w14:textId="77777777" w:rsidR="004E61E5" w:rsidRPr="004E61E5" w:rsidRDefault="004E61E5" w:rsidP="004E61E5">
      <w:pPr>
        <w:jc w:val="both"/>
        <w:rPr>
          <w:rFonts w:ascii="Open Sans" w:hAnsi="Open Sans" w:cs="Open Sans"/>
          <w:b/>
          <w:bCs/>
          <w:color w:val="002060"/>
        </w:rPr>
      </w:pPr>
    </w:p>
    <w:p w14:paraId="151954D6" w14:textId="52A5C988" w:rsidR="004E61E5" w:rsidRPr="00B56DAE" w:rsidRDefault="004E61E5" w:rsidP="004E61E5">
      <w:pPr>
        <w:ind w:firstLine="708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Dans l’hypothèse d’un </w:t>
      </w:r>
      <w:r w:rsidRPr="00B56DAE">
        <w:rPr>
          <w:rFonts w:ascii="Open Sans" w:hAnsi="Open Sans" w:cs="Open Sans"/>
          <w:color w:val="002060"/>
        </w:rPr>
        <w:t>investissement immobilier au moyen des fonds provenant de la présente vente</w:t>
      </w:r>
      <w:r w:rsidR="00FC40C7" w:rsidRPr="00B56DAE">
        <w:rPr>
          <w:rFonts w:ascii="Open Sans" w:hAnsi="Open Sans" w:cs="Open Sans"/>
          <w:color w:val="002060"/>
        </w:rPr>
        <w:t xml:space="preserve"> (c’est-à-dire d’un réinvestissement par les usufruitiers et les nus-propriétaires avec report du démembrement de propriété sur le </w:t>
      </w:r>
      <w:r w:rsidR="00FC40C7" w:rsidRPr="001B5D73">
        <w:rPr>
          <w:rFonts w:ascii="Open Sans" w:hAnsi="Open Sans" w:cs="Open Sans"/>
          <w:color w:val="002060"/>
        </w:rPr>
        <w:t>nouveau bien</w:t>
      </w:r>
      <w:r w:rsidR="001B5D73" w:rsidRPr="001B5D73">
        <w:rPr>
          <w:rFonts w:ascii="Open Sans" w:hAnsi="Open Sans" w:cs="Open Sans"/>
          <w:color w:val="002060"/>
        </w:rPr>
        <w:t>) :</w:t>
      </w:r>
    </w:p>
    <w:p w14:paraId="07D86386" w14:textId="77777777" w:rsidR="004E61E5" w:rsidRPr="00B56DAE" w:rsidRDefault="004E61E5" w:rsidP="004E61E5">
      <w:pPr>
        <w:ind w:firstLine="708"/>
        <w:jc w:val="both"/>
        <w:rPr>
          <w:rFonts w:ascii="Open Sans" w:hAnsi="Open Sans" w:cs="Open Sans"/>
          <w:color w:val="002060"/>
        </w:rPr>
      </w:pPr>
    </w:p>
    <w:p w14:paraId="136EADA0" w14:textId="2B518F15" w:rsidR="00C268C0" w:rsidRDefault="00C268C0" w:rsidP="00C268C0">
      <w:pPr>
        <w:pStyle w:val="Paragraphedeliste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>Le nouvel investissement entre</w:t>
      </w:r>
      <w:r w:rsidR="004E61E5" w:rsidRPr="00B56DAE">
        <w:rPr>
          <w:rFonts w:ascii="Open Sans" w:hAnsi="Open Sans" w:cs="Open Sans"/>
          <w:color w:val="002060"/>
        </w:rPr>
        <w:t xml:space="preserve"> </w:t>
      </w:r>
      <w:r w:rsidRPr="00B56DAE">
        <w:rPr>
          <w:rFonts w:ascii="Open Sans" w:hAnsi="Open Sans" w:cs="Open Sans"/>
          <w:color w:val="002060"/>
        </w:rPr>
        <w:t>l’usufruitier et le nu-propriétaire</w:t>
      </w:r>
      <w:r w:rsidR="004E61E5" w:rsidRPr="00B56DAE">
        <w:rPr>
          <w:rFonts w:ascii="Open Sans" w:hAnsi="Open Sans" w:cs="Open Sans"/>
          <w:color w:val="002060"/>
        </w:rPr>
        <w:t xml:space="preserve"> </w:t>
      </w:r>
      <w:r w:rsidRPr="00B56DAE">
        <w:rPr>
          <w:rFonts w:ascii="Open Sans" w:hAnsi="Open Sans" w:cs="Open Sans"/>
          <w:color w:val="002060"/>
        </w:rPr>
        <w:t xml:space="preserve">pourra être réalisé, au choix, </w:t>
      </w:r>
      <w:r w:rsidR="001B5D73">
        <w:rPr>
          <w:rFonts w:ascii="Open Sans" w:hAnsi="Open Sans" w:cs="Open Sans"/>
          <w:color w:val="002060"/>
        </w:rPr>
        <w:t>en fonction du barème fiscal ou</w:t>
      </w:r>
      <w:r w:rsidRPr="00B56DAE">
        <w:rPr>
          <w:rFonts w:ascii="Open Sans" w:hAnsi="Open Sans" w:cs="Open Sans"/>
          <w:color w:val="002060"/>
        </w:rPr>
        <w:t xml:space="preserve"> sur base d’une évaluation économique ;</w:t>
      </w:r>
    </w:p>
    <w:p w14:paraId="72EAD744" w14:textId="77777777" w:rsidR="001B5D73" w:rsidRPr="00B56DAE" w:rsidRDefault="001B5D73" w:rsidP="001B5D73">
      <w:pPr>
        <w:pStyle w:val="Paragraphedeliste"/>
        <w:ind w:left="1069"/>
        <w:jc w:val="both"/>
        <w:rPr>
          <w:rFonts w:ascii="Open Sans" w:hAnsi="Open Sans" w:cs="Open Sans"/>
          <w:color w:val="002060"/>
        </w:rPr>
      </w:pPr>
    </w:p>
    <w:p w14:paraId="18079178" w14:textId="77777777" w:rsidR="004E61E5" w:rsidRPr="00B56DAE" w:rsidRDefault="00C268C0" w:rsidP="00C268C0">
      <w:pPr>
        <w:pStyle w:val="Paragraphedeliste"/>
        <w:numPr>
          <w:ilvl w:val="0"/>
          <w:numId w:val="34"/>
        </w:numPr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Si le nouvel </w:t>
      </w:r>
      <w:r w:rsidR="004E61E5" w:rsidRPr="00B56DAE">
        <w:rPr>
          <w:rFonts w:ascii="Open Sans" w:hAnsi="Open Sans" w:cs="Open Sans"/>
          <w:color w:val="002060"/>
        </w:rPr>
        <w:t xml:space="preserve">investissement </w:t>
      </w:r>
      <w:r w:rsidRPr="00B56DAE">
        <w:rPr>
          <w:rFonts w:ascii="Open Sans" w:hAnsi="Open Sans" w:cs="Open Sans"/>
          <w:color w:val="002060"/>
        </w:rPr>
        <w:t>n’est pas réalisé immédiatement, le prix de vente devra être placé sur un compte démembré ouvert aux noms de l’usufruitier et du nu-propriétaire</w:t>
      </w:r>
      <w:r w:rsidR="004E61E5" w:rsidRPr="00B56DAE">
        <w:rPr>
          <w:rFonts w:ascii="Open Sans" w:hAnsi="Open Sans" w:cs="Open Sans"/>
          <w:color w:val="002060"/>
        </w:rPr>
        <w:t>.</w:t>
      </w:r>
      <w:r w:rsidR="00FC40C7" w:rsidRPr="00B56DAE">
        <w:rPr>
          <w:rFonts w:ascii="Open Sans" w:hAnsi="Open Sans" w:cs="Open Sans"/>
          <w:color w:val="002060"/>
        </w:rPr>
        <w:t xml:space="preserve"> </w:t>
      </w:r>
    </w:p>
    <w:p w14:paraId="756460DD" w14:textId="77777777" w:rsidR="004E61E5" w:rsidRPr="00B56DAE" w:rsidRDefault="004E61E5" w:rsidP="004E61E5">
      <w:pPr>
        <w:jc w:val="both"/>
        <w:rPr>
          <w:rFonts w:ascii="Open Sans" w:hAnsi="Open Sans" w:cs="Open Sans"/>
          <w:b/>
          <w:bCs/>
          <w:color w:val="002060"/>
        </w:rPr>
      </w:pPr>
    </w:p>
    <w:p w14:paraId="26E4E7F0" w14:textId="77777777" w:rsidR="004E61E5" w:rsidRPr="00B56DAE" w:rsidRDefault="004E61E5" w:rsidP="004E61E5">
      <w:pPr>
        <w:widowControl w:val="0"/>
        <w:numPr>
          <w:ilvl w:val="0"/>
          <w:numId w:val="32"/>
        </w:numPr>
        <w:jc w:val="both"/>
        <w:rPr>
          <w:rFonts w:ascii="Open Sans" w:hAnsi="Open Sans" w:cs="Open Sans"/>
          <w:b/>
          <w:bCs/>
          <w:color w:val="002060"/>
        </w:rPr>
      </w:pPr>
      <w:r w:rsidRPr="00B56DAE">
        <w:rPr>
          <w:rFonts w:ascii="Open Sans" w:hAnsi="Open Sans" w:cs="Open Sans"/>
          <w:b/>
          <w:bCs/>
          <w:color w:val="002060"/>
        </w:rPr>
        <w:t>Constitution d’un quasi-usufruit</w:t>
      </w:r>
    </w:p>
    <w:p w14:paraId="36A29A29" w14:textId="77777777" w:rsidR="004E61E5" w:rsidRPr="00B56DAE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1700E4AC" w14:textId="77777777" w:rsidR="004E61E5" w:rsidRPr="00B56DAE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Dans l’hypothèse où les parties ne souhaitent pas </w:t>
      </w:r>
      <w:r w:rsidR="00C268C0" w:rsidRPr="00B56DAE">
        <w:rPr>
          <w:rFonts w:ascii="Open Sans" w:hAnsi="Open Sans" w:cs="Open Sans"/>
          <w:color w:val="002060"/>
        </w:rPr>
        <w:t xml:space="preserve">ni </w:t>
      </w:r>
      <w:r w:rsidRPr="00B56DAE">
        <w:rPr>
          <w:rFonts w:ascii="Open Sans" w:hAnsi="Open Sans" w:cs="Open Sans"/>
          <w:color w:val="002060"/>
        </w:rPr>
        <w:t>réinvestir les sommes provenant de la vente du bien immobilier</w:t>
      </w:r>
      <w:r w:rsidR="00C268C0" w:rsidRPr="00B56DAE">
        <w:rPr>
          <w:rFonts w:ascii="Open Sans" w:hAnsi="Open Sans" w:cs="Open Sans"/>
          <w:color w:val="002060"/>
        </w:rPr>
        <w:t xml:space="preserve"> ni répartir les fonds selon leurs droits respectifs, </w:t>
      </w:r>
      <w:r w:rsidRPr="00B56DAE">
        <w:rPr>
          <w:rFonts w:ascii="Open Sans" w:hAnsi="Open Sans" w:cs="Open Sans"/>
          <w:color w:val="002060"/>
        </w:rPr>
        <w:t xml:space="preserve">et où les nus-propriétaires ne souhaitent pas disposer immédiatement des fonds, il est possible d’envisager </w:t>
      </w:r>
      <w:r w:rsidR="00C268C0" w:rsidRPr="00B56DAE">
        <w:rPr>
          <w:rFonts w:ascii="Open Sans" w:hAnsi="Open Sans" w:cs="Open Sans"/>
          <w:color w:val="002060"/>
        </w:rPr>
        <w:t>une troisième voie, celle d’</w:t>
      </w:r>
      <w:r w:rsidRPr="00B56DAE">
        <w:rPr>
          <w:rFonts w:ascii="Open Sans" w:hAnsi="Open Sans" w:cs="Open Sans"/>
          <w:color w:val="002060"/>
        </w:rPr>
        <w:t>un quasi-usufruit.</w:t>
      </w:r>
    </w:p>
    <w:p w14:paraId="185162CB" w14:textId="77777777" w:rsidR="004E61E5" w:rsidRPr="00B56DAE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</w:p>
    <w:p w14:paraId="0547C417" w14:textId="77777777" w:rsidR="004E61E5" w:rsidRPr="004E61E5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Dans ce cas, l’ensemble du produit de la vente reviendra à l’usufruitier uniquement. En application des dispositions de l’article 587 du Code général des impôts, l’usufruitier jouira de cet argent, à charge de </w:t>
      </w:r>
      <w:r w:rsidR="00FC40C7" w:rsidRPr="00B56DAE">
        <w:rPr>
          <w:rFonts w:ascii="Open Sans" w:hAnsi="Open Sans" w:cs="Open Sans"/>
          <w:color w:val="002060"/>
        </w:rPr>
        <w:t xml:space="preserve">le </w:t>
      </w:r>
      <w:r w:rsidRPr="00B56DAE">
        <w:rPr>
          <w:rFonts w:ascii="Open Sans" w:hAnsi="Open Sans" w:cs="Open Sans"/>
          <w:color w:val="002060"/>
        </w:rPr>
        <w:t xml:space="preserve">rendre à la fin de l’usufruit. Cela signifie que lors de la succession de l’usufruitier, il existera une </w:t>
      </w:r>
      <w:r w:rsidR="00C268C0" w:rsidRPr="00B56DAE">
        <w:rPr>
          <w:rFonts w:ascii="Open Sans" w:hAnsi="Open Sans" w:cs="Open Sans"/>
          <w:color w:val="002060"/>
        </w:rPr>
        <w:t>dette</w:t>
      </w:r>
      <w:r w:rsidRPr="00B56DAE">
        <w:rPr>
          <w:rFonts w:ascii="Open Sans" w:hAnsi="Open Sans" w:cs="Open Sans"/>
          <w:color w:val="002060"/>
        </w:rPr>
        <w:t xml:space="preserve"> correspondant au montant du prix de vente </w:t>
      </w:r>
      <w:r w:rsidR="00C268C0" w:rsidRPr="00B56DAE">
        <w:rPr>
          <w:rFonts w:ascii="Open Sans" w:hAnsi="Open Sans" w:cs="Open Sans"/>
          <w:color w:val="002060"/>
        </w:rPr>
        <w:t xml:space="preserve">(sauf indexation) </w:t>
      </w:r>
      <w:r w:rsidRPr="00B56DAE">
        <w:rPr>
          <w:rFonts w:ascii="Open Sans" w:hAnsi="Open Sans" w:cs="Open Sans"/>
          <w:color w:val="002060"/>
        </w:rPr>
        <w:t>au</w:t>
      </w:r>
      <w:r w:rsidRPr="004E61E5">
        <w:rPr>
          <w:rFonts w:ascii="Open Sans" w:hAnsi="Open Sans" w:cs="Open Sans"/>
          <w:color w:val="002060"/>
        </w:rPr>
        <w:t xml:space="preserve"> passif de la succession de l’usufruitier. </w:t>
      </w:r>
    </w:p>
    <w:p w14:paraId="2D3A5EA1" w14:textId="77777777" w:rsidR="00FC40C7" w:rsidRPr="00B56DAE" w:rsidRDefault="00FC40C7" w:rsidP="00FC40C7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Cela permet de déduire </w:t>
      </w:r>
      <w:r>
        <w:rPr>
          <w:rFonts w:ascii="Open Sans" w:hAnsi="Open Sans" w:cs="Open Sans"/>
          <w:color w:val="002060"/>
        </w:rPr>
        <w:t xml:space="preserve">de </w:t>
      </w:r>
      <w:r w:rsidRPr="004E61E5">
        <w:rPr>
          <w:rFonts w:ascii="Open Sans" w:hAnsi="Open Sans" w:cs="Open Sans"/>
          <w:color w:val="002060"/>
        </w:rPr>
        <w:t xml:space="preserve">l’actif de la succession </w:t>
      </w:r>
      <w:r>
        <w:rPr>
          <w:rFonts w:ascii="Open Sans" w:hAnsi="Open Sans" w:cs="Open Sans"/>
          <w:color w:val="002060"/>
        </w:rPr>
        <w:t xml:space="preserve">future </w:t>
      </w:r>
      <w:r w:rsidRPr="004E61E5">
        <w:rPr>
          <w:rFonts w:ascii="Open Sans" w:hAnsi="Open Sans" w:cs="Open Sans"/>
          <w:color w:val="002060"/>
        </w:rPr>
        <w:t>de l’usufruitier</w:t>
      </w:r>
      <w:r>
        <w:rPr>
          <w:rFonts w:ascii="Open Sans" w:hAnsi="Open Sans" w:cs="Open Sans"/>
          <w:color w:val="002060"/>
        </w:rPr>
        <w:t xml:space="preserve"> une dette d’un montant égal au montant de la somme d’argent laissée en possession de ce dernier aux termes du quasi-usufruit et lui permet en </w:t>
      </w:r>
      <w:r w:rsidRPr="00B56DAE">
        <w:rPr>
          <w:rFonts w:ascii="Open Sans" w:hAnsi="Open Sans" w:cs="Open Sans"/>
          <w:color w:val="002060"/>
        </w:rPr>
        <w:t>outre d’user de ces fonds librement (sauf restrictions convenues dans l’acte constitutif du quasi-usufruit</w:t>
      </w:r>
      <w:r w:rsidR="00C268C0" w:rsidRPr="00B56DAE">
        <w:rPr>
          <w:rFonts w:ascii="Open Sans" w:hAnsi="Open Sans" w:cs="Open Sans"/>
          <w:color w:val="002060"/>
        </w:rPr>
        <w:t xml:space="preserve"> ou l’acte constitutif du démembrement</w:t>
      </w:r>
      <w:r w:rsidRPr="00B56DAE">
        <w:rPr>
          <w:rFonts w:ascii="Open Sans" w:hAnsi="Open Sans" w:cs="Open Sans"/>
          <w:color w:val="002060"/>
        </w:rPr>
        <w:t xml:space="preserve">) et sa vie-durant. </w:t>
      </w:r>
    </w:p>
    <w:p w14:paraId="334D09C6" w14:textId="77777777" w:rsidR="004E61E5" w:rsidRPr="00B56DAE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2D7CCF1E" w14:textId="77777777" w:rsidR="004E61E5" w:rsidRPr="00B56DAE" w:rsidRDefault="004E61E5" w:rsidP="004E61E5">
      <w:pPr>
        <w:widowControl w:val="0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b/>
          <w:bCs/>
          <w:color w:val="002060"/>
        </w:rPr>
        <w:tab/>
      </w:r>
      <w:r w:rsidRPr="00B56DAE">
        <w:rPr>
          <w:rFonts w:ascii="Open Sans" w:hAnsi="Open Sans" w:cs="Open Sans"/>
          <w:color w:val="002060"/>
        </w:rPr>
        <w:t>Ce quasi-usufruit peut être constitué en déterminant le taux de l’usufruit selon le barème fiscal ou le barème économique. Cette décision aura des conséquences en matière de plus-value immobilière et de net disponible.</w:t>
      </w:r>
    </w:p>
    <w:p w14:paraId="282271BD" w14:textId="77777777" w:rsidR="004E61E5" w:rsidRPr="00B56DAE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4C723035" w14:textId="77777777" w:rsidR="004E61E5" w:rsidRPr="00B56DAE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B56DAE">
        <w:rPr>
          <w:rFonts w:ascii="Open Sans" w:hAnsi="Open Sans" w:cs="Open Sans"/>
          <w:b/>
          <w:color w:val="002060"/>
        </w:rPr>
        <w:t xml:space="preserve">- </w:t>
      </w:r>
      <w:r w:rsidRPr="00B56DAE">
        <w:rPr>
          <w:rFonts w:ascii="Open Sans" w:hAnsi="Open Sans" w:cs="Open Sans"/>
          <w:b/>
          <w:color w:val="002060"/>
          <w:u w:val="single"/>
        </w:rPr>
        <w:t>QUATRIEME PARTIE</w:t>
      </w:r>
      <w:r w:rsidRPr="00B56DAE">
        <w:rPr>
          <w:rFonts w:ascii="Open Sans" w:hAnsi="Open Sans" w:cs="Open Sans"/>
          <w:b/>
          <w:color w:val="002060"/>
        </w:rPr>
        <w:t xml:space="preserve"> -</w:t>
      </w:r>
    </w:p>
    <w:p w14:paraId="53B04535" w14:textId="77777777" w:rsidR="004E61E5" w:rsidRPr="00B56DAE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B56DAE">
        <w:rPr>
          <w:rFonts w:ascii="Open Sans" w:hAnsi="Open Sans" w:cs="Open Sans"/>
          <w:b/>
          <w:color w:val="002060"/>
          <w:u w:val="single"/>
        </w:rPr>
        <w:t>CONSEQUENCES FISCALES DES METHODES PROPOSEES EN MATIERE DE PLUS VALUE IMMOBILIERE ET DE DROITS DE SUCCESSION</w:t>
      </w:r>
    </w:p>
    <w:p w14:paraId="2C5BE7EF" w14:textId="77777777" w:rsidR="004E61E5" w:rsidRPr="00B56DAE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5CDD81F5" w14:textId="77777777" w:rsidR="004E61E5" w:rsidRPr="00B56DAE" w:rsidRDefault="00B56DAE" w:rsidP="004E61E5">
      <w:pPr>
        <w:widowControl w:val="0"/>
        <w:numPr>
          <w:ilvl w:val="0"/>
          <w:numId w:val="35"/>
        </w:numPr>
        <w:jc w:val="both"/>
        <w:rPr>
          <w:rFonts w:ascii="Open Sans" w:hAnsi="Open Sans" w:cs="Open Sans"/>
          <w:b/>
          <w:bCs/>
          <w:color w:val="002060"/>
        </w:rPr>
      </w:pPr>
      <w:r>
        <w:rPr>
          <w:rFonts w:ascii="Open Sans" w:hAnsi="Open Sans" w:cs="Open Sans"/>
          <w:b/>
          <w:bCs/>
          <w:color w:val="002060"/>
        </w:rPr>
        <w:t>Répartit</w:t>
      </w:r>
      <w:r w:rsidR="00C268C0" w:rsidRPr="00B56DAE">
        <w:rPr>
          <w:rFonts w:ascii="Open Sans" w:hAnsi="Open Sans" w:cs="Open Sans"/>
          <w:b/>
          <w:bCs/>
          <w:color w:val="002060"/>
        </w:rPr>
        <w:t>ion du prix de vente et d</w:t>
      </w:r>
      <w:r w:rsidR="004E61E5" w:rsidRPr="00B56DAE">
        <w:rPr>
          <w:rFonts w:ascii="Open Sans" w:hAnsi="Open Sans" w:cs="Open Sans"/>
          <w:b/>
          <w:bCs/>
          <w:color w:val="002060"/>
        </w:rPr>
        <w:t>istinction entre l’application du barème fiscal prévu à l’article 669 du CGI et l’usufruit économique</w:t>
      </w:r>
    </w:p>
    <w:p w14:paraId="38CF6E71" w14:textId="77777777" w:rsidR="004E61E5" w:rsidRPr="00B56DAE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08CCC81C" w14:textId="77777777" w:rsidR="004E61E5" w:rsidRPr="00B56DAE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Les conséquences en matière de plus-value et </w:t>
      </w:r>
      <w:r w:rsidR="00A8503F" w:rsidRPr="00B56DAE">
        <w:rPr>
          <w:rFonts w:ascii="Open Sans" w:hAnsi="Open Sans" w:cs="Open Sans"/>
          <w:color w:val="002060"/>
        </w:rPr>
        <w:t xml:space="preserve">sur </w:t>
      </w:r>
      <w:r w:rsidRPr="00B56DAE">
        <w:rPr>
          <w:rFonts w:ascii="Open Sans" w:hAnsi="Open Sans" w:cs="Open Sans"/>
          <w:color w:val="002060"/>
        </w:rPr>
        <w:t>le prix net rev</w:t>
      </w:r>
      <w:r w:rsidR="00A8503F" w:rsidRPr="00B56DAE">
        <w:rPr>
          <w:rFonts w:ascii="Open Sans" w:hAnsi="Open Sans" w:cs="Open Sans"/>
          <w:color w:val="002060"/>
        </w:rPr>
        <w:t>enant aux parties sont différente</w:t>
      </w:r>
      <w:r w:rsidRPr="00B56DAE">
        <w:rPr>
          <w:rFonts w:ascii="Open Sans" w:hAnsi="Open Sans" w:cs="Open Sans"/>
          <w:color w:val="002060"/>
        </w:rPr>
        <w:t xml:space="preserve">s selon la méthode d’évaluation de l’usufruit appliqué : </w:t>
      </w:r>
    </w:p>
    <w:p w14:paraId="33259298" w14:textId="77777777" w:rsidR="004E61E5" w:rsidRPr="00B56DAE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b/>
          <w:bCs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En appliquant le </w:t>
      </w:r>
      <w:r w:rsidRPr="00B56DAE">
        <w:rPr>
          <w:rFonts w:ascii="Open Sans" w:hAnsi="Open Sans" w:cs="Open Sans"/>
          <w:color w:val="002060"/>
          <w:u w:val="single"/>
        </w:rPr>
        <w:t>barème fiscal</w:t>
      </w:r>
      <w:r w:rsidRPr="00B56DAE">
        <w:rPr>
          <w:rFonts w:ascii="Open Sans" w:hAnsi="Open Sans" w:cs="Open Sans"/>
          <w:color w:val="002060"/>
        </w:rPr>
        <w:t xml:space="preserve">, la valeur de l’usufruit sera </w:t>
      </w:r>
      <w:r w:rsidR="00C268C0" w:rsidRPr="00B56DAE">
        <w:rPr>
          <w:rFonts w:ascii="Open Sans" w:hAnsi="Open Sans" w:cs="Open Sans"/>
          <w:color w:val="002060"/>
        </w:rPr>
        <w:t xml:space="preserve">souvent </w:t>
      </w:r>
      <w:r w:rsidRPr="00B56DAE">
        <w:rPr>
          <w:rFonts w:ascii="Open Sans" w:hAnsi="Open Sans" w:cs="Open Sans"/>
          <w:color w:val="002060"/>
        </w:rPr>
        <w:t xml:space="preserve">moins importante </w:t>
      </w:r>
      <w:r w:rsidR="00A8503F" w:rsidRPr="00B56DAE">
        <w:rPr>
          <w:rFonts w:ascii="Open Sans" w:hAnsi="Open Sans" w:cs="Open Sans"/>
          <w:color w:val="002060"/>
        </w:rPr>
        <w:t>qu’avec une</w:t>
      </w:r>
      <w:r w:rsidRPr="00B56DAE">
        <w:rPr>
          <w:rFonts w:ascii="Open Sans" w:hAnsi="Open Sans" w:cs="Open Sans"/>
          <w:color w:val="002060"/>
        </w:rPr>
        <w:t xml:space="preserve"> valorisation économique. La plus-value sera également moindre.</w:t>
      </w:r>
    </w:p>
    <w:p w14:paraId="4375A271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b/>
          <w:bCs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En appliquant </w:t>
      </w:r>
      <w:r w:rsidR="00A8503F" w:rsidRPr="00B56DAE">
        <w:rPr>
          <w:rFonts w:ascii="Open Sans" w:hAnsi="Open Sans" w:cs="Open Sans"/>
          <w:color w:val="002060"/>
        </w:rPr>
        <w:t>une</w:t>
      </w:r>
      <w:r w:rsidRPr="00B56DAE">
        <w:rPr>
          <w:rFonts w:ascii="Open Sans" w:hAnsi="Open Sans" w:cs="Open Sans"/>
          <w:color w:val="002060"/>
        </w:rPr>
        <w:t xml:space="preserve"> </w:t>
      </w:r>
      <w:r w:rsidRPr="00B56DAE">
        <w:rPr>
          <w:rFonts w:ascii="Open Sans" w:hAnsi="Open Sans" w:cs="Open Sans"/>
          <w:color w:val="002060"/>
          <w:u w:val="single"/>
        </w:rPr>
        <w:t>valorisation économique</w:t>
      </w:r>
      <w:r w:rsidRPr="00B56DAE">
        <w:rPr>
          <w:rFonts w:ascii="Open Sans" w:hAnsi="Open Sans" w:cs="Open Sans"/>
          <w:color w:val="002060"/>
        </w:rPr>
        <w:t xml:space="preserve">, l’usufruitier aura </w:t>
      </w:r>
      <w:r w:rsidR="00C268C0" w:rsidRPr="00B56DAE">
        <w:rPr>
          <w:rFonts w:ascii="Open Sans" w:hAnsi="Open Sans" w:cs="Open Sans"/>
          <w:color w:val="002060"/>
        </w:rPr>
        <w:t xml:space="preserve">souvent </w:t>
      </w:r>
      <w:r w:rsidRPr="00B56DAE">
        <w:rPr>
          <w:rFonts w:ascii="Open Sans" w:hAnsi="Open Sans" w:cs="Open Sans"/>
          <w:color w:val="002060"/>
        </w:rPr>
        <w:t>une</w:t>
      </w:r>
      <w:r w:rsidRPr="004E61E5">
        <w:rPr>
          <w:rFonts w:ascii="Open Sans" w:hAnsi="Open Sans" w:cs="Open Sans"/>
          <w:color w:val="002060"/>
        </w:rPr>
        <w:t xml:space="preserve"> plus forte valeur attribuée et une plus forte plus-value, au détriment du nu-propriétaire.</w:t>
      </w:r>
    </w:p>
    <w:p w14:paraId="12E59EFF" w14:textId="77777777" w:rsidR="004E61E5" w:rsidRPr="00A8503F" w:rsidRDefault="00A8503F" w:rsidP="004E61E5">
      <w:pPr>
        <w:widowControl w:val="0"/>
        <w:ind w:firstLine="709"/>
        <w:jc w:val="both"/>
        <w:rPr>
          <w:rFonts w:ascii="Open Sans" w:hAnsi="Open Sans" w:cs="Open Sans"/>
          <w:i/>
          <w:color w:val="002060"/>
        </w:rPr>
      </w:pPr>
      <w:r w:rsidRPr="00A8503F">
        <w:rPr>
          <w:rFonts w:ascii="Open Sans" w:hAnsi="Open Sans" w:cs="Open Sans"/>
          <w:i/>
          <w:color w:val="002060"/>
        </w:rPr>
        <w:t>(Notons toutefois qu’il sera fréquent que l’usufruitier puisse bénéficier d’une exonération d’impôt sur la plus-value, soit pour cession de la résidence principale, soit pour durée de détention)</w:t>
      </w:r>
    </w:p>
    <w:p w14:paraId="0E115D3A" w14:textId="77777777" w:rsidR="00A8503F" w:rsidRDefault="00A8503F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4B324393" w14:textId="77777777" w:rsidR="004E61E5" w:rsidRPr="004E61E5" w:rsidRDefault="00A8503F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color w:val="002060"/>
        </w:rPr>
        <w:t>En l’espèc</w:t>
      </w:r>
      <w:r w:rsidR="004E61E5" w:rsidRPr="004E61E5">
        <w:rPr>
          <w:rFonts w:ascii="Open Sans" w:hAnsi="Open Sans" w:cs="Open Sans"/>
          <w:color w:val="002060"/>
        </w:rPr>
        <w:t>e le montant net attribué à l’usufruitier est de</w:t>
      </w:r>
      <w:r>
        <w:rPr>
          <w:rFonts w:ascii="Open Sans" w:hAnsi="Open Sans" w:cs="Open Sans"/>
          <w:color w:val="002060"/>
        </w:rPr>
        <w:t>, savoir</w:t>
      </w:r>
      <w:r w:rsidR="004E61E5" w:rsidRPr="004E61E5">
        <w:rPr>
          <w:rFonts w:ascii="Open Sans" w:hAnsi="Open Sans" w:cs="Open Sans"/>
          <w:color w:val="002060"/>
        </w:rPr>
        <w:t> :</w:t>
      </w:r>
    </w:p>
    <w:p w14:paraId="62573F82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color w:val="002060"/>
        </w:rPr>
        <w:t>En application du barème fiscal</w:t>
      </w:r>
      <w:r w:rsidR="00A8503F">
        <w:rPr>
          <w:rFonts w:ascii="Open Sans" w:hAnsi="Open Sans" w:cs="Open Sans"/>
          <w:color w:val="002060"/>
        </w:rPr>
        <w:t> : ******</w:t>
      </w:r>
      <w:r w:rsidRPr="004E61E5">
        <w:rPr>
          <w:rFonts w:ascii="Open Sans" w:hAnsi="Open Sans" w:cs="Open Sans"/>
          <w:color w:val="002060"/>
        </w:rPr>
        <w:t xml:space="preserve"> €</w:t>
      </w:r>
    </w:p>
    <w:p w14:paraId="482C47A7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color w:val="002060"/>
        </w:rPr>
        <w:lastRenderedPageBreak/>
        <w:t>En application du barème économique</w:t>
      </w:r>
      <w:r w:rsidR="00A8503F">
        <w:rPr>
          <w:rFonts w:ascii="Open Sans" w:hAnsi="Open Sans" w:cs="Open Sans"/>
          <w:color w:val="002060"/>
        </w:rPr>
        <w:t xml:space="preserve"> : ****** </w:t>
      </w:r>
      <w:r w:rsidRPr="004E61E5">
        <w:rPr>
          <w:rFonts w:ascii="Open Sans" w:hAnsi="Open Sans" w:cs="Open Sans"/>
          <w:color w:val="002060"/>
        </w:rPr>
        <w:t>€</w:t>
      </w:r>
    </w:p>
    <w:p w14:paraId="65C59AF2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bCs/>
          <w:color w:val="002060"/>
        </w:rPr>
      </w:pPr>
    </w:p>
    <w:p w14:paraId="68D6287A" w14:textId="77777777" w:rsidR="004E61E5" w:rsidRPr="00B56DAE" w:rsidRDefault="004E61E5" w:rsidP="004E61E5">
      <w:pPr>
        <w:widowControl w:val="0"/>
        <w:numPr>
          <w:ilvl w:val="0"/>
          <w:numId w:val="35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b/>
          <w:bCs/>
          <w:color w:val="002060"/>
        </w:rPr>
        <w:t xml:space="preserve">Remploi des sommes </w:t>
      </w:r>
      <w:r w:rsidRPr="00B56DAE">
        <w:rPr>
          <w:rFonts w:ascii="Open Sans" w:hAnsi="Open Sans" w:cs="Open Sans"/>
          <w:b/>
          <w:bCs/>
          <w:color w:val="002060"/>
        </w:rPr>
        <w:t>perçues au moyen du barème fiscal</w:t>
      </w:r>
    </w:p>
    <w:p w14:paraId="7ADBC61B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bCs/>
          <w:color w:val="002060"/>
        </w:rPr>
      </w:pPr>
    </w:p>
    <w:p w14:paraId="5C4BE854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Dans l’optique de l’acquisition d’un nouveau bien immobilier, le barème fiscal est appliqué afin de déterminer la valeur de l’usufruit.  </w:t>
      </w:r>
    </w:p>
    <w:p w14:paraId="671CB55B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536651E7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 xml:space="preserve">Dans ce cas, le montant net attribué à l’usufruitier est de : </w:t>
      </w:r>
      <w:r w:rsidR="00A8503F" w:rsidRPr="00B56DAE">
        <w:rPr>
          <w:rFonts w:ascii="Open Sans" w:hAnsi="Open Sans" w:cs="Open Sans"/>
          <w:color w:val="002060"/>
        </w:rPr>
        <w:t>*****</w:t>
      </w:r>
      <w:r w:rsidRPr="00B56DAE">
        <w:rPr>
          <w:rFonts w:ascii="Open Sans" w:hAnsi="Open Sans" w:cs="Open Sans"/>
          <w:color w:val="002060"/>
        </w:rPr>
        <w:t xml:space="preserve"> € en ce déduit</w:t>
      </w:r>
      <w:r w:rsidR="00A8503F" w:rsidRPr="00B56DAE">
        <w:rPr>
          <w:rFonts w:ascii="Open Sans" w:hAnsi="Open Sans" w:cs="Open Sans"/>
          <w:color w:val="002060"/>
        </w:rPr>
        <w:t>e</w:t>
      </w:r>
      <w:r w:rsidRPr="00B56DAE">
        <w:rPr>
          <w:rFonts w:ascii="Open Sans" w:hAnsi="Open Sans" w:cs="Open Sans"/>
          <w:color w:val="002060"/>
        </w:rPr>
        <w:t xml:space="preserve"> une plus-value d'un montant de </w:t>
      </w:r>
      <w:r w:rsidR="00A8503F" w:rsidRPr="00B56DAE">
        <w:rPr>
          <w:rFonts w:ascii="Open Sans" w:hAnsi="Open Sans" w:cs="Open Sans"/>
          <w:color w:val="002060"/>
        </w:rPr>
        <w:t>*****</w:t>
      </w:r>
      <w:r w:rsidRPr="00B56DAE">
        <w:rPr>
          <w:rFonts w:ascii="Open Sans" w:hAnsi="Open Sans" w:cs="Open Sans"/>
          <w:color w:val="002060"/>
        </w:rPr>
        <w:t>. €</w:t>
      </w:r>
    </w:p>
    <w:p w14:paraId="1760EFB3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bCs/>
          <w:color w:val="002060"/>
        </w:rPr>
      </w:pPr>
    </w:p>
    <w:p w14:paraId="7CD86543" w14:textId="77777777" w:rsidR="004E61E5" w:rsidRPr="00B56DAE" w:rsidRDefault="004E61E5" w:rsidP="004E61E5">
      <w:pPr>
        <w:widowControl w:val="0"/>
        <w:numPr>
          <w:ilvl w:val="0"/>
          <w:numId w:val="35"/>
        </w:numPr>
        <w:jc w:val="both"/>
        <w:rPr>
          <w:rFonts w:ascii="Open Sans" w:hAnsi="Open Sans" w:cs="Open Sans"/>
          <w:b/>
          <w:bCs/>
          <w:color w:val="002060"/>
        </w:rPr>
      </w:pPr>
      <w:r w:rsidRPr="00B56DAE">
        <w:rPr>
          <w:rFonts w:ascii="Open Sans" w:hAnsi="Open Sans" w:cs="Open Sans"/>
          <w:b/>
          <w:bCs/>
          <w:color w:val="002060"/>
        </w:rPr>
        <w:t>Quasi-usufruit au profit de l’usufruitier</w:t>
      </w:r>
    </w:p>
    <w:p w14:paraId="14B1C73C" w14:textId="77777777" w:rsidR="004E61E5" w:rsidRPr="00B56DAE" w:rsidRDefault="004E61E5" w:rsidP="004E61E5">
      <w:pPr>
        <w:widowControl w:val="0"/>
        <w:ind w:firstLine="709"/>
        <w:jc w:val="both"/>
        <w:rPr>
          <w:rFonts w:ascii="Open Sans" w:hAnsi="Open Sans" w:cs="Open Sans"/>
          <w:b/>
          <w:bCs/>
          <w:color w:val="002060"/>
        </w:rPr>
      </w:pPr>
    </w:p>
    <w:p w14:paraId="03350112" w14:textId="77777777" w:rsidR="00C173C6" w:rsidRPr="004E61E5" w:rsidRDefault="00C173C6" w:rsidP="00C173C6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B56DAE">
        <w:rPr>
          <w:rFonts w:ascii="Open Sans" w:hAnsi="Open Sans" w:cs="Open Sans"/>
          <w:color w:val="002060"/>
        </w:rPr>
        <w:t>La constitution du quasi-usufruit s’effectue immédiatement après la vente du bien immobilier. Dans cette hypothèse, l'ensemble du prix de</w:t>
      </w:r>
      <w:r w:rsidRPr="004E61E5">
        <w:rPr>
          <w:rFonts w:ascii="Open Sans" w:hAnsi="Open Sans" w:cs="Open Sans"/>
          <w:color w:val="002060"/>
        </w:rPr>
        <w:t xml:space="preserve"> vente </w:t>
      </w:r>
      <w:r>
        <w:rPr>
          <w:rFonts w:ascii="Open Sans" w:hAnsi="Open Sans" w:cs="Open Sans"/>
          <w:color w:val="002060"/>
        </w:rPr>
        <w:t>est versé</w:t>
      </w:r>
      <w:r w:rsidRPr="004E61E5">
        <w:rPr>
          <w:rFonts w:ascii="Open Sans" w:hAnsi="Open Sans" w:cs="Open Sans"/>
          <w:color w:val="002060"/>
        </w:rPr>
        <w:t xml:space="preserve"> à l’usufruitier</w:t>
      </w:r>
      <w:r>
        <w:rPr>
          <w:rFonts w:ascii="Open Sans" w:hAnsi="Open Sans" w:cs="Open Sans"/>
          <w:color w:val="002060"/>
        </w:rPr>
        <w:t xml:space="preserve">. DEn conséquence, </w:t>
      </w:r>
      <w:r w:rsidRPr="004E61E5">
        <w:rPr>
          <w:rFonts w:ascii="Open Sans" w:hAnsi="Open Sans" w:cs="Open Sans"/>
          <w:color w:val="002060"/>
        </w:rPr>
        <w:t>que ce soit en application du barème fiscal ou en valorisant l’usufruit de manière économique, le montant attribué à l’usufruitier sera le même.</w:t>
      </w:r>
    </w:p>
    <w:p w14:paraId="2376D2D4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2082C6D7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En appliquant le barème fiscal</w:t>
      </w:r>
      <w:r w:rsidR="00A8503F">
        <w:rPr>
          <w:rFonts w:ascii="Open Sans" w:hAnsi="Open Sans" w:cs="Open Sans"/>
          <w:color w:val="002060"/>
        </w:rPr>
        <w:t>,</w:t>
      </w:r>
      <w:r w:rsidRPr="004E61E5">
        <w:rPr>
          <w:rFonts w:ascii="Open Sans" w:hAnsi="Open Sans" w:cs="Open Sans"/>
          <w:color w:val="002060"/>
        </w:rPr>
        <w:t xml:space="preserve"> le net perçu par l’usufruitier et la créance de restitution nette de la partie de plus-value incombant au nu-propriétaire seront</w:t>
      </w:r>
      <w:r w:rsidR="00C173C6">
        <w:rPr>
          <w:rFonts w:ascii="Open Sans" w:hAnsi="Open Sans" w:cs="Open Sans"/>
          <w:color w:val="002060"/>
        </w:rPr>
        <w:t xml:space="preserve"> souvent</w:t>
      </w:r>
      <w:r w:rsidRPr="004E61E5">
        <w:rPr>
          <w:rFonts w:ascii="Open Sans" w:hAnsi="Open Sans" w:cs="Open Sans"/>
          <w:color w:val="002060"/>
        </w:rPr>
        <w:t xml:space="preserve"> moindres qu’avec </w:t>
      </w:r>
      <w:r w:rsidR="00A8503F">
        <w:rPr>
          <w:rFonts w:ascii="Open Sans" w:hAnsi="Open Sans" w:cs="Open Sans"/>
          <w:color w:val="002060"/>
        </w:rPr>
        <w:t>une</w:t>
      </w:r>
      <w:r w:rsidRPr="004E61E5">
        <w:rPr>
          <w:rFonts w:ascii="Open Sans" w:hAnsi="Open Sans" w:cs="Open Sans"/>
          <w:color w:val="002060"/>
        </w:rPr>
        <w:t xml:space="preserve"> valorisation économique de l’usufruit.</w:t>
      </w:r>
    </w:p>
    <w:p w14:paraId="5412FCF2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777EBDC2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En l’espèce le montant attribué à l’usufruitier et le montant de la créance de restitution seront</w:t>
      </w:r>
      <w:r w:rsidR="00A8503F">
        <w:rPr>
          <w:rFonts w:ascii="Open Sans" w:hAnsi="Open Sans" w:cs="Open Sans"/>
          <w:color w:val="002060"/>
        </w:rPr>
        <w:t xml:space="preserve"> de, savoir</w:t>
      </w:r>
      <w:r w:rsidRPr="004E61E5">
        <w:rPr>
          <w:rFonts w:ascii="Open Sans" w:hAnsi="Open Sans" w:cs="Open Sans"/>
          <w:color w:val="002060"/>
        </w:rPr>
        <w:t> :</w:t>
      </w:r>
    </w:p>
    <w:p w14:paraId="5442A041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En application du barème fiscal, le montant attribué à l’usufruitier est de </w:t>
      </w:r>
      <w:r w:rsidR="00A8503F">
        <w:rPr>
          <w:rFonts w:ascii="Open Sans" w:hAnsi="Open Sans" w:cs="Open Sans"/>
          <w:color w:val="002060"/>
        </w:rPr>
        <w:t xml:space="preserve">**** </w:t>
      </w:r>
      <w:r w:rsidRPr="004E61E5">
        <w:rPr>
          <w:rFonts w:ascii="Open Sans" w:hAnsi="Open Sans" w:cs="Open Sans"/>
          <w:color w:val="002060"/>
        </w:rPr>
        <w:t xml:space="preserve">€ et la créance de restitution de </w:t>
      </w:r>
      <w:r w:rsidR="00A8503F">
        <w:rPr>
          <w:rFonts w:ascii="Open Sans" w:hAnsi="Open Sans" w:cs="Open Sans"/>
          <w:color w:val="002060"/>
        </w:rPr>
        <w:t>****</w:t>
      </w:r>
      <w:r w:rsidRPr="004E61E5">
        <w:rPr>
          <w:rFonts w:ascii="Open Sans" w:hAnsi="Open Sans" w:cs="Open Sans"/>
          <w:color w:val="002060"/>
        </w:rPr>
        <w:t xml:space="preserve"> €</w:t>
      </w:r>
    </w:p>
    <w:p w14:paraId="1B0AC34B" w14:textId="77777777" w:rsidR="004E61E5" w:rsidRPr="004E61E5" w:rsidRDefault="004E61E5" w:rsidP="004E61E5">
      <w:pPr>
        <w:widowControl w:val="0"/>
        <w:numPr>
          <w:ilvl w:val="0"/>
          <w:numId w:val="34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En application du barème économique, le montant attribué à l’usufruitier est de </w:t>
      </w:r>
      <w:r w:rsidR="00A8503F">
        <w:rPr>
          <w:rFonts w:ascii="Open Sans" w:hAnsi="Open Sans" w:cs="Open Sans"/>
          <w:color w:val="002060"/>
        </w:rPr>
        <w:t>****</w:t>
      </w:r>
      <w:r w:rsidRPr="004E61E5">
        <w:rPr>
          <w:rFonts w:ascii="Open Sans" w:hAnsi="Open Sans" w:cs="Open Sans"/>
          <w:color w:val="002060"/>
        </w:rPr>
        <w:t xml:space="preserve"> € et la créance de restitution de </w:t>
      </w:r>
      <w:r w:rsidR="00A8503F">
        <w:rPr>
          <w:rFonts w:ascii="Open Sans" w:hAnsi="Open Sans" w:cs="Open Sans"/>
          <w:color w:val="002060"/>
        </w:rPr>
        <w:t>****</w:t>
      </w:r>
      <w:r w:rsidRPr="004E61E5">
        <w:rPr>
          <w:rFonts w:ascii="Open Sans" w:hAnsi="Open Sans" w:cs="Open Sans"/>
          <w:color w:val="002060"/>
        </w:rPr>
        <w:t>€</w:t>
      </w:r>
    </w:p>
    <w:p w14:paraId="06F2DA62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</w:p>
    <w:p w14:paraId="2DB095AE" w14:textId="77777777" w:rsidR="004E61E5" w:rsidRPr="004E61E5" w:rsidRDefault="004E61E5" w:rsidP="004E61E5">
      <w:pPr>
        <w:widowControl w:val="0"/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Est demeuré ci-annexé un tableur Excel détaillant l’ensemble des hypothèses envisagées. </w:t>
      </w:r>
    </w:p>
    <w:p w14:paraId="6A6AF0E7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23A8ACB4" w14:textId="77777777" w:rsidR="004E61E5" w:rsidRPr="004E61E5" w:rsidRDefault="004E61E5" w:rsidP="004E61E5">
      <w:pPr>
        <w:widowControl w:val="0"/>
        <w:numPr>
          <w:ilvl w:val="0"/>
          <w:numId w:val="35"/>
        </w:numPr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b/>
          <w:bCs/>
          <w:color w:val="002060"/>
        </w:rPr>
        <w:t>Incidence en matière de succession</w:t>
      </w:r>
    </w:p>
    <w:p w14:paraId="18F6469E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3AFFCAFB" w14:textId="34EC4663" w:rsidR="004E61E5" w:rsidRPr="001B5D73" w:rsidRDefault="004E61E5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  <w:r w:rsidRPr="001B5D73">
        <w:rPr>
          <w:rFonts w:ascii="Open Sans" w:hAnsi="Open Sans" w:cs="Open Sans"/>
          <w:bCs/>
          <w:color w:val="002060"/>
        </w:rPr>
        <w:t xml:space="preserve">Le notaire soussigné rappelle aux parties que la répartition du prix de vente entre usufruitier et nu – propriétaire </w:t>
      </w:r>
      <w:r w:rsidRPr="001B5D73">
        <w:rPr>
          <w:rFonts w:ascii="Open Sans" w:hAnsi="Open Sans" w:cs="Open Sans"/>
          <w:color w:val="002060"/>
        </w:rPr>
        <w:t>a pour conséquence de réattribuer à l’usufruitie</w:t>
      </w:r>
      <w:r w:rsidR="00C173C6" w:rsidRPr="001B5D73">
        <w:rPr>
          <w:rFonts w:ascii="Open Sans" w:hAnsi="Open Sans" w:cs="Open Sans"/>
          <w:color w:val="002060"/>
        </w:rPr>
        <w:t>r une somme en pleine propriété puis le cas échéant un investissement qui prendra de la valeur, qui seront tous deux</w:t>
      </w:r>
      <w:r w:rsidRPr="001B5D73">
        <w:rPr>
          <w:rFonts w:ascii="Open Sans" w:hAnsi="Open Sans" w:cs="Open Sans"/>
          <w:color w:val="002060"/>
        </w:rPr>
        <w:t xml:space="preserve"> susceptible</w:t>
      </w:r>
      <w:r w:rsidR="00C173C6" w:rsidRPr="001B5D73">
        <w:rPr>
          <w:rFonts w:ascii="Open Sans" w:hAnsi="Open Sans" w:cs="Open Sans"/>
          <w:color w:val="002060"/>
        </w:rPr>
        <w:t>s</w:t>
      </w:r>
      <w:r w:rsidR="00ED608D" w:rsidRPr="001B5D73">
        <w:rPr>
          <w:rFonts w:ascii="Open Sans" w:hAnsi="Open Sans" w:cs="Open Sans"/>
          <w:color w:val="002060"/>
        </w:rPr>
        <w:t xml:space="preserve"> d’être soumis</w:t>
      </w:r>
      <w:r w:rsidRPr="001B5D73">
        <w:rPr>
          <w:rFonts w:ascii="Open Sans" w:hAnsi="Open Sans" w:cs="Open Sans"/>
          <w:color w:val="002060"/>
        </w:rPr>
        <w:t xml:space="preserve"> aux droits de mutation à titre gratuit lors du décès de ce dernier</w:t>
      </w:r>
      <w:r w:rsidR="00C173C6" w:rsidRPr="001B5D73">
        <w:rPr>
          <w:rFonts w:ascii="Open Sans" w:hAnsi="Open Sans" w:cs="Open Sans"/>
          <w:color w:val="002060"/>
        </w:rPr>
        <w:t>.</w:t>
      </w:r>
    </w:p>
    <w:p w14:paraId="021ABFC7" w14:textId="67550FDD" w:rsidR="004E61E5" w:rsidRPr="001B5D73" w:rsidRDefault="004E61E5" w:rsidP="00115923">
      <w:pPr>
        <w:widowControl w:val="0"/>
        <w:jc w:val="both"/>
        <w:rPr>
          <w:rFonts w:ascii="Open Sans" w:hAnsi="Open Sans" w:cs="Open Sans"/>
          <w:color w:val="002060"/>
        </w:rPr>
      </w:pPr>
    </w:p>
    <w:p w14:paraId="454E9190" w14:textId="1C616F22" w:rsidR="000C60B1" w:rsidRPr="001B5D73" w:rsidRDefault="000C60B1" w:rsidP="004E61E5">
      <w:pPr>
        <w:widowControl w:val="0"/>
        <w:ind w:firstLine="708"/>
        <w:jc w:val="both"/>
        <w:rPr>
          <w:rFonts w:ascii="Open Sans" w:hAnsi="Open Sans" w:cs="Open Sans"/>
          <w:bCs/>
          <w:color w:val="002060"/>
        </w:rPr>
      </w:pPr>
      <w:r w:rsidRPr="001B5D73">
        <w:rPr>
          <w:rFonts w:ascii="Open Sans" w:hAnsi="Open Sans" w:cs="Open Sans"/>
          <w:bCs/>
          <w:color w:val="002060"/>
        </w:rPr>
        <w:t>Dans le cas d’un quasi-usufruit</w:t>
      </w:r>
      <w:r w:rsidR="00115923" w:rsidRPr="001B5D73">
        <w:rPr>
          <w:rFonts w:ascii="Open Sans" w:hAnsi="Open Sans" w:cs="Open Sans"/>
          <w:bCs/>
          <w:color w:val="002060"/>
        </w:rPr>
        <w:t xml:space="preserve">, </w:t>
      </w:r>
      <w:r w:rsidR="00306732" w:rsidRPr="001B5D73">
        <w:rPr>
          <w:rFonts w:ascii="Open Sans" w:hAnsi="Open Sans" w:cs="Open Sans"/>
          <w:bCs/>
          <w:color w:val="002060"/>
        </w:rPr>
        <w:t>il conviendra d’être vigilant aux investissements réalisés au moyen de fonds soumis à quasi-usufruit, car ces derniers pourraient, au décès du quasi-usufruitier, être taxés pour la partie correspondant à la prise de valeur.</w:t>
      </w:r>
    </w:p>
    <w:p w14:paraId="60F12E7C" w14:textId="1FED23EE" w:rsidR="00512CF6" w:rsidRDefault="00512CF6" w:rsidP="004E61E5">
      <w:pPr>
        <w:widowControl w:val="0"/>
        <w:ind w:firstLine="708"/>
        <w:jc w:val="both"/>
        <w:rPr>
          <w:rFonts w:ascii="Open Sans" w:hAnsi="Open Sans" w:cs="Open Sans"/>
          <w:bCs/>
          <w:color w:val="002060"/>
        </w:rPr>
      </w:pPr>
      <w:r w:rsidRPr="001B5D73">
        <w:rPr>
          <w:rFonts w:ascii="Open Sans" w:hAnsi="Open Sans" w:cs="Open Sans"/>
          <w:bCs/>
          <w:color w:val="002060"/>
        </w:rPr>
        <w:t>Si le quasi-usufruitier a la volonté d’investir, le choix du remploi en démembrement peut être plus adapté.</w:t>
      </w:r>
    </w:p>
    <w:p w14:paraId="5BB30B65" w14:textId="77777777" w:rsidR="000C60B1" w:rsidRPr="004E61E5" w:rsidRDefault="000C60B1" w:rsidP="004E61E5">
      <w:pPr>
        <w:widowControl w:val="0"/>
        <w:ind w:firstLine="708"/>
        <w:jc w:val="both"/>
        <w:rPr>
          <w:rFonts w:ascii="Open Sans" w:hAnsi="Open Sans" w:cs="Open Sans"/>
          <w:color w:val="002060"/>
        </w:rPr>
      </w:pPr>
    </w:p>
    <w:p w14:paraId="573BD86F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</w:rPr>
        <w:t xml:space="preserve">- </w:t>
      </w:r>
      <w:r w:rsidRPr="004E61E5">
        <w:rPr>
          <w:rFonts w:ascii="Open Sans" w:hAnsi="Open Sans" w:cs="Open Sans"/>
          <w:b/>
          <w:color w:val="002060"/>
          <w:u w:val="single"/>
        </w:rPr>
        <w:t>CINQUIEME PARTIE</w:t>
      </w:r>
      <w:r w:rsidRPr="004E61E5">
        <w:rPr>
          <w:rFonts w:ascii="Open Sans" w:hAnsi="Open Sans" w:cs="Open Sans"/>
          <w:b/>
          <w:color w:val="002060"/>
        </w:rPr>
        <w:t xml:space="preserve"> -</w:t>
      </w:r>
    </w:p>
    <w:p w14:paraId="2DEAFB6F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CHOIX DES PARTIES</w:t>
      </w:r>
    </w:p>
    <w:p w14:paraId="2ABCAB64" w14:textId="77777777" w:rsidR="004E61E5" w:rsidRPr="004E61E5" w:rsidRDefault="004E61E5" w:rsidP="004E61E5">
      <w:pPr>
        <w:ind w:firstLine="709"/>
        <w:jc w:val="both"/>
        <w:rPr>
          <w:rFonts w:ascii="Open Sans" w:hAnsi="Open Sans"/>
          <w:color w:val="002060"/>
        </w:rPr>
      </w:pPr>
    </w:p>
    <w:p w14:paraId="2307DB8B" w14:textId="77777777" w:rsidR="004E61E5" w:rsidRPr="004E61E5" w:rsidRDefault="004E61E5" w:rsidP="004E61E5">
      <w:pPr>
        <w:ind w:firstLine="709"/>
        <w:jc w:val="both"/>
        <w:rPr>
          <w:rFonts w:ascii="Open Sans" w:hAnsi="Open Sans"/>
          <w:b/>
          <w:bCs/>
          <w:color w:val="002060"/>
        </w:rPr>
      </w:pPr>
      <w:r w:rsidRPr="004E61E5">
        <w:rPr>
          <w:rFonts w:ascii="Open Sans" w:hAnsi="Open Sans"/>
          <w:color w:val="002060"/>
        </w:rPr>
        <w:t xml:space="preserve">Par suite de l’ensemble des explications délivrées par le notaire et en connaissance des conséquences tant civiles que fiscales des diverses options possibles, les parties font le choix suivant : </w:t>
      </w:r>
      <w:r w:rsidRPr="004E61E5">
        <w:rPr>
          <w:rFonts w:ascii="Open Sans" w:hAnsi="Open Sans"/>
          <w:b/>
          <w:bCs/>
          <w:color w:val="002060"/>
        </w:rPr>
        <w:t>…………</w:t>
      </w:r>
    </w:p>
    <w:p w14:paraId="7F7E3085" w14:textId="77777777" w:rsid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27185408" w14:textId="77777777" w:rsidR="00B56DAE" w:rsidRDefault="00B56DAE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67A889D9" w14:textId="77777777" w:rsidR="00B56DAE" w:rsidRPr="004E61E5" w:rsidRDefault="00B56DAE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  <w:bookmarkStart w:id="10" w:name="_GoBack"/>
      <w:bookmarkEnd w:id="10"/>
    </w:p>
    <w:p w14:paraId="47BD4490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bookmarkStart w:id="11" w:name="PERCID_r1_wId64"/>
      <w:r w:rsidRPr="004E61E5">
        <w:rPr>
          <w:rFonts w:ascii="Open Sans" w:hAnsi="Open Sans" w:cs="Open Sans"/>
          <w:b/>
          <w:color w:val="002060"/>
        </w:rPr>
        <w:t xml:space="preserve">- </w:t>
      </w:r>
      <w:r w:rsidRPr="004E61E5">
        <w:rPr>
          <w:rFonts w:ascii="Open Sans" w:hAnsi="Open Sans" w:cs="Open Sans"/>
          <w:b/>
          <w:color w:val="002060"/>
          <w:u w:val="single"/>
        </w:rPr>
        <w:t>SIXIEME PARTIE</w:t>
      </w:r>
      <w:r w:rsidRPr="004E61E5">
        <w:rPr>
          <w:rFonts w:ascii="Open Sans" w:hAnsi="Open Sans" w:cs="Open Sans"/>
          <w:b/>
          <w:color w:val="002060"/>
        </w:rPr>
        <w:t xml:space="preserve"> -</w:t>
      </w:r>
    </w:p>
    <w:p w14:paraId="42FC3662" w14:textId="77777777" w:rsidR="004E61E5" w:rsidRPr="004E61E5" w:rsidRDefault="004E61E5" w:rsidP="004E61E5">
      <w:pPr>
        <w:keepLines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0" w:color="auto" w:fill="FFFFFF"/>
        <w:jc w:val="center"/>
        <w:rPr>
          <w:rFonts w:ascii="Open Sans" w:hAnsi="Open Sans" w:cs="Open Sans"/>
          <w:b/>
          <w:color w:val="002060"/>
          <w:u w:val="single"/>
        </w:rPr>
      </w:pPr>
      <w:r w:rsidRPr="004E61E5">
        <w:rPr>
          <w:rFonts w:ascii="Open Sans" w:hAnsi="Open Sans" w:cs="Open Sans"/>
          <w:b/>
          <w:color w:val="002060"/>
          <w:u w:val="single"/>
        </w:rPr>
        <w:t>DISPOSITIONS DIVERSES - CLOTURE</w:t>
      </w:r>
    </w:p>
    <w:bookmarkEnd w:id="11"/>
    <w:p w14:paraId="60BF20EC" w14:textId="77777777" w:rsidR="004E61E5" w:rsidRPr="004E61E5" w:rsidRDefault="004E61E5" w:rsidP="004E61E5">
      <w:pPr>
        <w:widowControl w:val="0"/>
        <w:jc w:val="both"/>
        <w:rPr>
          <w:rFonts w:ascii="Open Sans" w:hAnsi="Open Sans" w:cs="Open Sans"/>
          <w:b/>
          <w:bCs/>
          <w:color w:val="002060"/>
        </w:rPr>
      </w:pPr>
    </w:p>
    <w:p w14:paraId="1F5ED6FA" w14:textId="77777777" w:rsidR="004E61E5" w:rsidRPr="004E61E5" w:rsidRDefault="004E61E5" w:rsidP="004E61E5">
      <w:pPr>
        <w:keepNext/>
        <w:keepLines/>
        <w:jc w:val="center"/>
        <w:outlineLvl w:val="0"/>
        <w:rPr>
          <w:rFonts w:ascii="Open Sans" w:hAnsi="Open Sans" w:cs="Open Sans"/>
          <w:b/>
          <w:caps/>
          <w:color w:val="002060"/>
          <w:kern w:val="28"/>
          <w:u w:val="single"/>
        </w:rPr>
      </w:pPr>
      <w:r w:rsidRPr="004E61E5">
        <w:rPr>
          <w:rFonts w:ascii="Open Sans" w:hAnsi="Open Sans" w:cs="Open Sans"/>
          <w:b/>
          <w:caps/>
          <w:color w:val="002060"/>
          <w:kern w:val="28"/>
          <w:u w:val="single"/>
        </w:rPr>
        <w:t>FRAIS</w:t>
      </w:r>
    </w:p>
    <w:p w14:paraId="1469F51D" w14:textId="77777777" w:rsidR="00B56DAE" w:rsidRDefault="00B56DAE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3FED072B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Tous les frais, droits et émoluments des présentes seront à la charge de l’USUFRUITIER, qui s'y oblige.</w:t>
      </w:r>
      <w:bookmarkStart w:id="12" w:name="PYPOUCL_r1_wId67"/>
    </w:p>
    <w:p w14:paraId="0338C7DA" w14:textId="77777777" w:rsidR="004E61E5" w:rsidRPr="004E61E5" w:rsidRDefault="004E61E5" w:rsidP="004E61E5">
      <w:pPr>
        <w:keepNext/>
        <w:keepLines/>
        <w:jc w:val="center"/>
        <w:outlineLvl w:val="0"/>
        <w:rPr>
          <w:rFonts w:ascii="Open Sans" w:hAnsi="Open Sans" w:cs="Open Sans"/>
          <w:b/>
          <w:caps/>
          <w:color w:val="002060"/>
          <w:kern w:val="28"/>
          <w:u w:val="single"/>
        </w:rPr>
      </w:pPr>
      <w:bookmarkStart w:id="13" w:name="PXDOMIC_r1_wId68"/>
      <w:bookmarkEnd w:id="12"/>
      <w:r w:rsidRPr="004E61E5">
        <w:rPr>
          <w:rFonts w:ascii="Open Sans" w:hAnsi="Open Sans" w:cs="Open Sans"/>
          <w:b/>
          <w:caps/>
          <w:color w:val="002060"/>
          <w:kern w:val="28"/>
          <w:u w:val="single"/>
        </w:rPr>
        <w:t>ELECTION DE DOMICILE</w:t>
      </w:r>
    </w:p>
    <w:p w14:paraId="3457B7C2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243164D9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Pour l'exécution des présentes et de leurs suites, les parties font élection de domicile en leurs demeures respectives sus-indiquées.</w:t>
      </w:r>
    </w:p>
    <w:p w14:paraId="15F69B5F" w14:textId="77777777" w:rsidR="004E61E5" w:rsidRPr="004E61E5" w:rsidRDefault="004E61E5" w:rsidP="004E61E5">
      <w:pPr>
        <w:jc w:val="both"/>
        <w:rPr>
          <w:rFonts w:ascii="Open Sans" w:hAnsi="Open Sans" w:cs="Open Sans"/>
          <w:color w:val="002060"/>
        </w:rPr>
      </w:pPr>
      <w:bookmarkStart w:id="14" w:name="PXDOP89_r1_wId69"/>
      <w:bookmarkEnd w:id="13"/>
    </w:p>
    <w:p w14:paraId="30B34A61" w14:textId="77777777" w:rsidR="004E61E5" w:rsidRPr="004E61E5" w:rsidRDefault="004E61E5" w:rsidP="004E61E5">
      <w:pPr>
        <w:keepNext/>
        <w:keepLines/>
        <w:jc w:val="center"/>
        <w:outlineLvl w:val="0"/>
        <w:rPr>
          <w:rFonts w:ascii="Open Sans" w:hAnsi="Open Sans" w:cs="Open Sans"/>
          <w:b/>
          <w:caps/>
          <w:color w:val="002060"/>
          <w:kern w:val="28"/>
          <w:u w:val="single"/>
        </w:rPr>
      </w:pPr>
      <w:bookmarkStart w:id="15" w:name="PMANLEG_r1_wId90"/>
      <w:bookmarkEnd w:id="14"/>
      <w:r w:rsidRPr="004E61E5">
        <w:rPr>
          <w:rFonts w:ascii="Open Sans" w:hAnsi="Open Sans" w:cs="Open Sans"/>
          <w:b/>
          <w:caps/>
          <w:color w:val="002060"/>
          <w:kern w:val="28"/>
          <w:u w:val="single"/>
        </w:rPr>
        <w:t>MENTION SUR LA PROTECTION DES DONNEES PERSONNELLES</w:t>
      </w:r>
    </w:p>
    <w:p w14:paraId="69392DEC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51A3A9E6" w14:textId="77777777" w:rsidR="004E61E5" w:rsidRPr="004E61E5" w:rsidRDefault="00A8503F" w:rsidP="004E61E5">
      <w:pPr>
        <w:ind w:firstLine="709"/>
        <w:jc w:val="both"/>
        <w:rPr>
          <w:rFonts w:ascii="Open Sans" w:hAnsi="Open Sans" w:cs="Open Sans"/>
          <w:color w:val="002060"/>
        </w:rPr>
      </w:pPr>
      <w:r>
        <w:rPr>
          <w:rFonts w:ascii="Open Sans" w:hAnsi="Open Sans" w:cs="Open Sans"/>
          <w:color w:val="002060"/>
        </w:rPr>
        <w:t>*****</w:t>
      </w:r>
    </w:p>
    <w:p w14:paraId="0EB9BD5E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06A26657" w14:textId="77777777" w:rsidR="004E61E5" w:rsidRPr="004E61E5" w:rsidRDefault="004E61E5" w:rsidP="004E61E5">
      <w:pPr>
        <w:keepNext/>
        <w:keepLines/>
        <w:jc w:val="center"/>
        <w:outlineLvl w:val="0"/>
        <w:rPr>
          <w:rFonts w:ascii="Open Sans" w:hAnsi="Open Sans" w:cs="Open Sans"/>
          <w:b/>
          <w:caps/>
          <w:color w:val="002060"/>
          <w:kern w:val="28"/>
          <w:u w:val="single"/>
        </w:rPr>
      </w:pPr>
      <w:bookmarkStart w:id="16" w:name="PCARAU_r1_wId70"/>
      <w:bookmarkEnd w:id="15"/>
      <w:r w:rsidRPr="004E61E5">
        <w:rPr>
          <w:rFonts w:ascii="Open Sans" w:hAnsi="Open Sans" w:cs="Open Sans"/>
          <w:b/>
          <w:caps/>
          <w:color w:val="002060"/>
          <w:kern w:val="28"/>
          <w:u w:val="single"/>
        </w:rPr>
        <w:t>Formalisme lié aux annexes</w:t>
      </w:r>
    </w:p>
    <w:p w14:paraId="1F3CCB02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7A44D66D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 xml:space="preserve">Les annexes, s'il en existe, font partie intégrante de la minute. </w:t>
      </w:r>
    </w:p>
    <w:p w14:paraId="3DE31779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L’acte étant établi sur support électronique, la signature du notaire en fin d’acte vaut également pour ses annexes.</w:t>
      </w:r>
    </w:p>
    <w:p w14:paraId="4C084ACF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</w:p>
    <w:p w14:paraId="752AB678" w14:textId="77777777" w:rsidR="004E61E5" w:rsidRPr="004E61E5" w:rsidRDefault="004E61E5" w:rsidP="004E61E5">
      <w:pPr>
        <w:ind w:left="709" w:firstLine="709"/>
        <w:jc w:val="right"/>
        <w:rPr>
          <w:rFonts w:ascii="Open Sans" w:hAnsi="Open Sans" w:cs="Open Sans"/>
          <w:b/>
          <w:color w:val="002060"/>
          <w:u w:val="single"/>
        </w:rPr>
      </w:pPr>
      <w:bookmarkStart w:id="17" w:name="PYAASE1_r1_wId71"/>
      <w:bookmarkEnd w:id="16"/>
      <w:r w:rsidRPr="004E61E5">
        <w:rPr>
          <w:rFonts w:ascii="Open Sans" w:hAnsi="Open Sans" w:cs="Open Sans"/>
          <w:b/>
          <w:color w:val="002060"/>
          <w:u w:val="single"/>
        </w:rPr>
        <w:t>DONT ACTE sans renvoi</w:t>
      </w:r>
    </w:p>
    <w:p w14:paraId="02A7208B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Généré en l’office notarial et visualisé sur support électronique aux lieu, jour, mois et an indiqués en entête du présent acte.</w:t>
      </w:r>
    </w:p>
    <w:p w14:paraId="60982D37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color w:val="002060"/>
        </w:rPr>
      </w:pPr>
      <w:r w:rsidRPr="004E61E5">
        <w:rPr>
          <w:rFonts w:ascii="Open Sans" w:hAnsi="Open Sans" w:cs="Open Sans"/>
          <w:color w:val="002060"/>
        </w:rPr>
        <w:t>Et lecture faite, les parties ont certifié exactes les déclarations les concernant, avant d'apposer leur signature sur tablette numérique.</w:t>
      </w:r>
    </w:p>
    <w:bookmarkEnd w:id="17"/>
    <w:p w14:paraId="490B8414" w14:textId="77777777" w:rsidR="004E61E5" w:rsidRPr="004E61E5" w:rsidRDefault="004E61E5" w:rsidP="004E61E5">
      <w:pPr>
        <w:ind w:firstLine="709"/>
        <w:jc w:val="both"/>
        <w:rPr>
          <w:rFonts w:ascii="Open Sans" w:hAnsi="Open Sans" w:cs="Open Sans"/>
          <w:b/>
          <w:bCs/>
          <w:color w:val="002060"/>
        </w:rPr>
      </w:pPr>
      <w:r w:rsidRPr="004E61E5">
        <w:rPr>
          <w:rFonts w:ascii="Open Sans" w:hAnsi="Open Sans" w:cs="Open Sans"/>
          <w:color w:val="002060"/>
        </w:rPr>
        <w:t>Puis le notaire qui a recueilli l'image de leur signature manuscrite a lui-même signé au moyen d'un procédé de signature électronique.</w:t>
      </w:r>
    </w:p>
    <w:p w14:paraId="59D6CFBA" w14:textId="77777777" w:rsidR="001F5C60" w:rsidRPr="004E61E5" w:rsidRDefault="001F5C60" w:rsidP="004E61E5">
      <w:pPr>
        <w:jc w:val="both"/>
        <w:rPr>
          <w:rFonts w:cs="Arial"/>
          <w:color w:val="002060"/>
          <w:u w:val="single"/>
        </w:rPr>
      </w:pPr>
    </w:p>
    <w:sectPr w:rsidR="001F5C60" w:rsidRPr="004E61E5" w:rsidSect="00527364">
      <w:pgSz w:w="11906" w:h="16838"/>
      <w:pgMar w:top="1417" w:right="1417" w:bottom="1417" w:left="1417" w:header="708" w:footer="708" w:gutter="0"/>
      <w:pgBorders w:offsetFrom="page">
        <w:top w:val="thinThickThinMediumGap" w:sz="24" w:space="24" w:color="4472C4" w:themeColor="accent1"/>
        <w:left w:val="thinThickThinMediumGap" w:sz="24" w:space="24" w:color="4472C4" w:themeColor="accent1"/>
        <w:bottom w:val="thinThickThinMediumGap" w:sz="24" w:space="24" w:color="4472C4" w:themeColor="accent1"/>
        <w:right w:val="thinThickThinMediumGap" w:sz="24" w:space="24" w:color="4472C4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B58442" w14:textId="77777777" w:rsidR="006D488A" w:rsidRDefault="006D488A" w:rsidP="00527364">
      <w:r>
        <w:separator/>
      </w:r>
    </w:p>
  </w:endnote>
  <w:endnote w:type="continuationSeparator" w:id="0">
    <w:p w14:paraId="1DC7C7F0" w14:textId="77777777" w:rsidR="006D488A" w:rsidRDefault="006D488A" w:rsidP="005273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">
    <w:altName w:val="Segoe UI Light"/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73719" w14:textId="77777777" w:rsidR="006D488A" w:rsidRDefault="006D488A" w:rsidP="00527364">
      <w:r>
        <w:separator/>
      </w:r>
    </w:p>
  </w:footnote>
  <w:footnote w:type="continuationSeparator" w:id="0">
    <w:p w14:paraId="72641600" w14:textId="77777777" w:rsidR="006D488A" w:rsidRDefault="006D488A" w:rsidP="005273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6D7449"/>
    <w:multiLevelType w:val="hybridMultilevel"/>
    <w:tmpl w:val="AA60D912"/>
    <w:lvl w:ilvl="0" w:tplc="F8428E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BCF34B7"/>
    <w:multiLevelType w:val="hybridMultilevel"/>
    <w:tmpl w:val="905A3200"/>
    <w:lvl w:ilvl="0" w:tplc="FFFFFFFF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C3752FF"/>
    <w:multiLevelType w:val="hybridMultilevel"/>
    <w:tmpl w:val="1BC807AA"/>
    <w:lvl w:ilvl="0" w:tplc="548CE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8CEB80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B3A79"/>
    <w:multiLevelType w:val="hybridMultilevel"/>
    <w:tmpl w:val="2D4282D8"/>
    <w:lvl w:ilvl="0" w:tplc="FFFFFFFF">
      <w:start w:val="1"/>
      <w:numFmt w:val="bullet"/>
      <w:pStyle w:val="Enumration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C1D3B"/>
    <w:multiLevelType w:val="hybridMultilevel"/>
    <w:tmpl w:val="29D66CC4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A542E9"/>
    <w:multiLevelType w:val="hybridMultilevel"/>
    <w:tmpl w:val="D5E0AAF4"/>
    <w:lvl w:ilvl="0" w:tplc="9064C324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B039B4"/>
    <w:multiLevelType w:val="hybridMultilevel"/>
    <w:tmpl w:val="D4E61B42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17133A3"/>
    <w:multiLevelType w:val="hybridMultilevel"/>
    <w:tmpl w:val="593002AA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4AC0A92"/>
    <w:multiLevelType w:val="hybridMultilevel"/>
    <w:tmpl w:val="81EC9BBA"/>
    <w:lvl w:ilvl="0" w:tplc="040C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9" w15:restartNumberingAfterBreak="0">
    <w:nsid w:val="26C05A2F"/>
    <w:multiLevelType w:val="hybridMultilevel"/>
    <w:tmpl w:val="22825914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A5C4EAD"/>
    <w:multiLevelType w:val="hybridMultilevel"/>
    <w:tmpl w:val="DD68899E"/>
    <w:lvl w:ilvl="0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2B970B03"/>
    <w:multiLevelType w:val="hybridMultilevel"/>
    <w:tmpl w:val="923EDE08"/>
    <w:lvl w:ilvl="0" w:tplc="5350A86E">
      <w:start w:val="1"/>
      <w:numFmt w:val="bullet"/>
      <w:lvlText w:val="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C1312CC"/>
    <w:multiLevelType w:val="hybridMultilevel"/>
    <w:tmpl w:val="F9AA8412"/>
    <w:lvl w:ilvl="0" w:tplc="A88C7D6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789" w:hanging="360"/>
      </w:pPr>
    </w:lvl>
    <w:lvl w:ilvl="2" w:tplc="040C001B" w:tentative="1">
      <w:start w:val="1"/>
      <w:numFmt w:val="lowerRoman"/>
      <w:lvlText w:val="%3."/>
      <w:lvlJc w:val="right"/>
      <w:pPr>
        <w:ind w:left="2509" w:hanging="180"/>
      </w:pPr>
    </w:lvl>
    <w:lvl w:ilvl="3" w:tplc="040C000F" w:tentative="1">
      <w:start w:val="1"/>
      <w:numFmt w:val="decimal"/>
      <w:lvlText w:val="%4."/>
      <w:lvlJc w:val="left"/>
      <w:pPr>
        <w:ind w:left="3229" w:hanging="360"/>
      </w:pPr>
    </w:lvl>
    <w:lvl w:ilvl="4" w:tplc="040C0019" w:tentative="1">
      <w:start w:val="1"/>
      <w:numFmt w:val="lowerLetter"/>
      <w:lvlText w:val="%5."/>
      <w:lvlJc w:val="left"/>
      <w:pPr>
        <w:ind w:left="3949" w:hanging="360"/>
      </w:pPr>
    </w:lvl>
    <w:lvl w:ilvl="5" w:tplc="040C001B" w:tentative="1">
      <w:start w:val="1"/>
      <w:numFmt w:val="lowerRoman"/>
      <w:lvlText w:val="%6."/>
      <w:lvlJc w:val="right"/>
      <w:pPr>
        <w:ind w:left="4669" w:hanging="180"/>
      </w:pPr>
    </w:lvl>
    <w:lvl w:ilvl="6" w:tplc="040C000F" w:tentative="1">
      <w:start w:val="1"/>
      <w:numFmt w:val="decimal"/>
      <w:lvlText w:val="%7."/>
      <w:lvlJc w:val="left"/>
      <w:pPr>
        <w:ind w:left="5389" w:hanging="360"/>
      </w:pPr>
    </w:lvl>
    <w:lvl w:ilvl="7" w:tplc="040C0019" w:tentative="1">
      <w:start w:val="1"/>
      <w:numFmt w:val="lowerLetter"/>
      <w:lvlText w:val="%8."/>
      <w:lvlJc w:val="left"/>
      <w:pPr>
        <w:ind w:left="6109" w:hanging="360"/>
      </w:pPr>
    </w:lvl>
    <w:lvl w:ilvl="8" w:tplc="040C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2DD334F1"/>
    <w:multiLevelType w:val="hybridMultilevel"/>
    <w:tmpl w:val="ED50D400"/>
    <w:lvl w:ilvl="0" w:tplc="FFFFFFFF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E7C0C19"/>
    <w:multiLevelType w:val="hybridMultilevel"/>
    <w:tmpl w:val="D6BA1CAC"/>
    <w:lvl w:ilvl="0" w:tplc="FFFFFFFF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5" w15:restartNumberingAfterBreak="0">
    <w:nsid w:val="321F00ED"/>
    <w:multiLevelType w:val="hybridMultilevel"/>
    <w:tmpl w:val="3BFCAF9E"/>
    <w:lvl w:ilvl="0" w:tplc="9048C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3961C3"/>
    <w:multiLevelType w:val="hybridMultilevel"/>
    <w:tmpl w:val="1690DBF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85007F"/>
    <w:multiLevelType w:val="hybridMultilevel"/>
    <w:tmpl w:val="5824F488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8C145AE"/>
    <w:multiLevelType w:val="hybridMultilevel"/>
    <w:tmpl w:val="E4F2B17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9737ED9"/>
    <w:multiLevelType w:val="hybridMultilevel"/>
    <w:tmpl w:val="E2B0081C"/>
    <w:lvl w:ilvl="0" w:tplc="FFFFFFFF">
      <w:start w:val="1"/>
      <w:numFmt w:val="bullet"/>
      <w:lvlText w:val="-"/>
      <w:lvlJc w:val="left"/>
      <w:pPr>
        <w:ind w:left="1069" w:hanging="360"/>
      </w:pPr>
      <w:rPr>
        <w:rFonts w:ascii="Open Sans" w:eastAsia="Times New Roman" w:hAnsi="Open Sans" w:cs="Open Sans" w:hint="default"/>
      </w:rPr>
    </w:lvl>
    <w:lvl w:ilvl="1" w:tplc="FFFFFFFF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51BB462F"/>
    <w:multiLevelType w:val="hybridMultilevel"/>
    <w:tmpl w:val="C46AA680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 w15:restartNumberingAfterBreak="0">
    <w:nsid w:val="54481CE0"/>
    <w:multiLevelType w:val="hybridMultilevel"/>
    <w:tmpl w:val="66FEAA74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572A24AF"/>
    <w:multiLevelType w:val="hybridMultilevel"/>
    <w:tmpl w:val="F5C65A24"/>
    <w:lvl w:ilvl="0" w:tplc="040C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C6B3415"/>
    <w:multiLevelType w:val="hybridMultilevel"/>
    <w:tmpl w:val="FFFAD2F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2D417D2"/>
    <w:multiLevelType w:val="hybridMultilevel"/>
    <w:tmpl w:val="88AA48A4"/>
    <w:lvl w:ilvl="0" w:tplc="F8428EEC">
      <w:numFmt w:val="bullet"/>
      <w:lvlText w:val="-"/>
      <w:lvlJc w:val="left"/>
      <w:pPr>
        <w:ind w:left="786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 w15:restartNumberingAfterBreak="0">
    <w:nsid w:val="649D1656"/>
    <w:multiLevelType w:val="hybridMultilevel"/>
    <w:tmpl w:val="0A9EC02C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6" w15:restartNumberingAfterBreak="0">
    <w:nsid w:val="657C21DC"/>
    <w:multiLevelType w:val="hybridMultilevel"/>
    <w:tmpl w:val="6C345EB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2F0576"/>
    <w:multiLevelType w:val="hybridMultilevel"/>
    <w:tmpl w:val="2E5AC32A"/>
    <w:lvl w:ilvl="0" w:tplc="548CEB8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593B43"/>
    <w:multiLevelType w:val="hybridMultilevel"/>
    <w:tmpl w:val="60109F60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9" w15:restartNumberingAfterBreak="0">
    <w:nsid w:val="6E120542"/>
    <w:multiLevelType w:val="hybridMultilevel"/>
    <w:tmpl w:val="CC9AE4E8"/>
    <w:lvl w:ilvl="0" w:tplc="5350A86E">
      <w:start w:val="1"/>
      <w:numFmt w:val="bullet"/>
      <w:lvlText w:val=""/>
      <w:lvlJc w:val="left"/>
      <w:pPr>
        <w:ind w:left="21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702F0F74"/>
    <w:multiLevelType w:val="hybridMultilevel"/>
    <w:tmpl w:val="2968EB6C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4FA68B9"/>
    <w:multiLevelType w:val="hybridMultilevel"/>
    <w:tmpl w:val="B608FB98"/>
    <w:lvl w:ilvl="0" w:tplc="CC5A1E5A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79F4FD0"/>
    <w:multiLevelType w:val="hybridMultilevel"/>
    <w:tmpl w:val="68F4B3BE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8FD59B7"/>
    <w:multiLevelType w:val="hybridMultilevel"/>
    <w:tmpl w:val="8A4CF2B8"/>
    <w:lvl w:ilvl="0" w:tplc="5350A86E">
      <w:start w:val="1"/>
      <w:numFmt w:val="bullet"/>
      <w:lvlText w:val="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79E470BC"/>
    <w:multiLevelType w:val="hybridMultilevel"/>
    <w:tmpl w:val="7070F39A"/>
    <w:lvl w:ilvl="0" w:tplc="5350A86E">
      <w:start w:val="1"/>
      <w:numFmt w:val="bullet"/>
      <w:lvlText w:val="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703C32"/>
    <w:multiLevelType w:val="hybridMultilevel"/>
    <w:tmpl w:val="284C65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9"/>
  </w:num>
  <w:num w:numId="3">
    <w:abstractNumId w:val="24"/>
  </w:num>
  <w:num w:numId="4">
    <w:abstractNumId w:val="0"/>
  </w:num>
  <w:num w:numId="5">
    <w:abstractNumId w:val="17"/>
  </w:num>
  <w:num w:numId="6">
    <w:abstractNumId w:val="30"/>
  </w:num>
  <w:num w:numId="7">
    <w:abstractNumId w:val="26"/>
  </w:num>
  <w:num w:numId="8">
    <w:abstractNumId w:val="4"/>
  </w:num>
  <w:num w:numId="9">
    <w:abstractNumId w:val="23"/>
  </w:num>
  <w:num w:numId="10">
    <w:abstractNumId w:val="28"/>
  </w:num>
  <w:num w:numId="11">
    <w:abstractNumId w:val="29"/>
  </w:num>
  <w:num w:numId="12">
    <w:abstractNumId w:val="2"/>
  </w:num>
  <w:num w:numId="13">
    <w:abstractNumId w:val="34"/>
  </w:num>
  <w:num w:numId="14">
    <w:abstractNumId w:val="27"/>
  </w:num>
  <w:num w:numId="15">
    <w:abstractNumId w:val="21"/>
  </w:num>
  <w:num w:numId="16">
    <w:abstractNumId w:val="25"/>
  </w:num>
  <w:num w:numId="17">
    <w:abstractNumId w:val="20"/>
  </w:num>
  <w:num w:numId="18">
    <w:abstractNumId w:val="7"/>
  </w:num>
  <w:num w:numId="19">
    <w:abstractNumId w:val="6"/>
  </w:num>
  <w:num w:numId="20">
    <w:abstractNumId w:val="16"/>
  </w:num>
  <w:num w:numId="21">
    <w:abstractNumId w:val="32"/>
  </w:num>
  <w:num w:numId="22">
    <w:abstractNumId w:val="8"/>
  </w:num>
  <w:num w:numId="23">
    <w:abstractNumId w:val="18"/>
  </w:num>
  <w:num w:numId="24">
    <w:abstractNumId w:val="11"/>
  </w:num>
  <w:num w:numId="25">
    <w:abstractNumId w:val="10"/>
  </w:num>
  <w:num w:numId="26">
    <w:abstractNumId w:val="22"/>
  </w:num>
  <w:num w:numId="27">
    <w:abstractNumId w:val="15"/>
  </w:num>
  <w:num w:numId="28">
    <w:abstractNumId w:val="5"/>
  </w:num>
  <w:num w:numId="29">
    <w:abstractNumId w:val="31"/>
  </w:num>
  <w:num w:numId="30">
    <w:abstractNumId w:val="35"/>
  </w:num>
  <w:num w:numId="31">
    <w:abstractNumId w:val="3"/>
  </w:num>
  <w:num w:numId="32">
    <w:abstractNumId w:val="13"/>
  </w:num>
  <w:num w:numId="3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9"/>
  </w:num>
  <w:num w:numId="35">
    <w:abstractNumId w:val="1"/>
  </w:num>
  <w:num w:numId="36">
    <w:abstractNumId w:val="14"/>
  </w:num>
  <w:num w:numId="3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2AA9"/>
    <w:rsid w:val="000C60B1"/>
    <w:rsid w:val="00115923"/>
    <w:rsid w:val="001B5D73"/>
    <w:rsid w:val="001F5C60"/>
    <w:rsid w:val="00221212"/>
    <w:rsid w:val="00293217"/>
    <w:rsid w:val="002D30F1"/>
    <w:rsid w:val="00306732"/>
    <w:rsid w:val="00417E1D"/>
    <w:rsid w:val="004324EC"/>
    <w:rsid w:val="004B7587"/>
    <w:rsid w:val="004E61E5"/>
    <w:rsid w:val="00512CF6"/>
    <w:rsid w:val="00527364"/>
    <w:rsid w:val="005A6111"/>
    <w:rsid w:val="005C0C69"/>
    <w:rsid w:val="005C21C8"/>
    <w:rsid w:val="00601C0F"/>
    <w:rsid w:val="006B12A2"/>
    <w:rsid w:val="006C445F"/>
    <w:rsid w:val="006D0C4D"/>
    <w:rsid w:val="006D488A"/>
    <w:rsid w:val="006F2AA4"/>
    <w:rsid w:val="0076348C"/>
    <w:rsid w:val="007C76B0"/>
    <w:rsid w:val="008971BD"/>
    <w:rsid w:val="009018E3"/>
    <w:rsid w:val="00961DCA"/>
    <w:rsid w:val="0097069D"/>
    <w:rsid w:val="00972AA9"/>
    <w:rsid w:val="009B1751"/>
    <w:rsid w:val="009C249D"/>
    <w:rsid w:val="009C2F28"/>
    <w:rsid w:val="00A27A19"/>
    <w:rsid w:val="00A76D10"/>
    <w:rsid w:val="00A8503F"/>
    <w:rsid w:val="00AB19E8"/>
    <w:rsid w:val="00B05A51"/>
    <w:rsid w:val="00B10C10"/>
    <w:rsid w:val="00B56DAE"/>
    <w:rsid w:val="00BB5B52"/>
    <w:rsid w:val="00C173C6"/>
    <w:rsid w:val="00C268C0"/>
    <w:rsid w:val="00C33D2F"/>
    <w:rsid w:val="00C40C2C"/>
    <w:rsid w:val="00C5695F"/>
    <w:rsid w:val="00C61FD7"/>
    <w:rsid w:val="00CD55A5"/>
    <w:rsid w:val="00D24878"/>
    <w:rsid w:val="00D5791E"/>
    <w:rsid w:val="00D80D4E"/>
    <w:rsid w:val="00D9379C"/>
    <w:rsid w:val="00DA02FB"/>
    <w:rsid w:val="00DD2963"/>
    <w:rsid w:val="00DD359A"/>
    <w:rsid w:val="00E67C68"/>
    <w:rsid w:val="00ED608D"/>
    <w:rsid w:val="00FB0B0E"/>
    <w:rsid w:val="00FC4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EEE6F"/>
  <w15:chartTrackingRefBased/>
  <w15:docId w15:val="{11795D49-0D8E-40AF-8849-655A5B2C7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72AA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972AA9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2121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1212"/>
    <w:rPr>
      <w:rFonts w:ascii="Segoe UI" w:eastAsia="Times New Roman" w:hAnsi="Segoe UI" w:cs="Segoe UI"/>
      <w:sz w:val="18"/>
      <w:szCs w:val="18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2736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27364"/>
    <w:rPr>
      <w:rFonts w:ascii="Arial" w:eastAsia="Times New Roman" w:hAnsi="Arial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52736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27364"/>
    <w:rPr>
      <w:rFonts w:ascii="Arial" w:eastAsia="Times New Roman" w:hAnsi="Arial" w:cs="Times New Roman"/>
      <w:sz w:val="20"/>
      <w:szCs w:val="20"/>
      <w:lang w:eastAsia="fr-FR"/>
    </w:rPr>
  </w:style>
  <w:style w:type="table" w:styleId="Grilledutableau">
    <w:name w:val="Table Grid"/>
    <w:basedOn w:val="TableauNormal"/>
    <w:uiPriority w:val="39"/>
    <w:rsid w:val="005273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umration">
    <w:name w:val="Enumération"/>
    <w:basedOn w:val="Normal"/>
    <w:qFormat/>
    <w:rsid w:val="004E61E5"/>
    <w:pPr>
      <w:numPr>
        <w:numId w:val="31"/>
      </w:numPr>
      <w:spacing w:before="60" w:after="120"/>
      <w:jc w:val="both"/>
    </w:pPr>
    <w:rPr>
      <w:rFonts w:ascii="Open Sans" w:hAnsi="Open Sans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C2F28"/>
  </w:style>
  <w:style w:type="character" w:customStyle="1" w:styleId="CommentaireCar">
    <w:name w:val="Commentaire Car"/>
    <w:basedOn w:val="Policepardfaut"/>
    <w:link w:val="Commentaire"/>
    <w:uiPriority w:val="99"/>
    <w:semiHidden/>
    <w:rsid w:val="009C2F28"/>
    <w:rPr>
      <w:rFonts w:ascii="Arial" w:eastAsia="Times New Roman" w:hAnsi="Arial" w:cs="Times New Roman"/>
      <w:sz w:val="20"/>
      <w:szCs w:val="20"/>
      <w:lang w:eastAsia="fr-FR"/>
    </w:rPr>
  </w:style>
  <w:style w:type="character" w:styleId="Marquedecommentaire">
    <w:name w:val="annotation reference"/>
    <w:basedOn w:val="Policepardfaut"/>
    <w:uiPriority w:val="99"/>
    <w:semiHidden/>
    <w:unhideWhenUsed/>
    <w:rsid w:val="00B56DAE"/>
    <w:rPr>
      <w:sz w:val="16"/>
      <w:szCs w:val="16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B56DA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B56DAE"/>
    <w:rPr>
      <w:rFonts w:ascii="Arial" w:eastAsia="Times New Roman" w:hAnsi="Arial" w:cs="Times New Roman"/>
      <w:b/>
      <w:bCs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cid:image001.png@01D7E2B5.9071BD10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7</Pages>
  <Words>1985</Words>
  <Characters>10922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TANCOGNE Chloé</dc:creator>
  <cp:keywords/>
  <dc:description/>
  <cp:lastModifiedBy>Laure PASQUIER-MIGNOT</cp:lastModifiedBy>
  <cp:revision>19</cp:revision>
  <cp:lastPrinted>2022-01-04T17:52:00Z</cp:lastPrinted>
  <dcterms:created xsi:type="dcterms:W3CDTF">2022-03-16T10:06:00Z</dcterms:created>
  <dcterms:modified xsi:type="dcterms:W3CDTF">2022-04-11T10:25:00Z</dcterms:modified>
</cp:coreProperties>
</file>